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679" w:rsidRDefault="00341679">
      <w:pPr>
        <w:pStyle w:val="Nzov"/>
        <w:pBdr>
          <w:bottom w:val="single" w:sz="6" w:space="1" w:color="auto"/>
        </w:pBdr>
      </w:pPr>
    </w:p>
    <w:p w:rsidR="00341679" w:rsidRDefault="00341679">
      <w:pPr>
        <w:jc w:val="center"/>
        <w:rPr>
          <w:b/>
          <w:bCs/>
          <w:sz w:val="32"/>
          <w:szCs w:val="32"/>
        </w:rPr>
      </w:pPr>
      <w:r>
        <w:rPr>
          <w:b/>
          <w:bCs/>
          <w:sz w:val="32"/>
          <w:szCs w:val="32"/>
        </w:rPr>
        <w:t>Všeobecne záväzné nariadenie Obce Ilija</w:t>
      </w:r>
    </w:p>
    <w:p w:rsidR="00341679" w:rsidRDefault="00341679">
      <w:pPr>
        <w:jc w:val="center"/>
        <w:rPr>
          <w:b/>
          <w:bCs/>
          <w:sz w:val="32"/>
          <w:szCs w:val="32"/>
        </w:rPr>
      </w:pPr>
      <w:r>
        <w:rPr>
          <w:b/>
          <w:bCs/>
          <w:sz w:val="32"/>
          <w:szCs w:val="32"/>
        </w:rPr>
        <w:t>č.2 /201</w:t>
      </w:r>
      <w:r w:rsidR="005162AC">
        <w:rPr>
          <w:b/>
          <w:bCs/>
          <w:sz w:val="32"/>
          <w:szCs w:val="32"/>
        </w:rPr>
        <w:t>5</w:t>
      </w:r>
    </w:p>
    <w:p w:rsidR="00341679" w:rsidRDefault="00341679">
      <w:pPr>
        <w:jc w:val="center"/>
        <w:rPr>
          <w:b/>
          <w:bCs/>
        </w:rPr>
      </w:pPr>
      <w:r>
        <w:rPr>
          <w:b/>
          <w:bCs/>
          <w:sz w:val="32"/>
          <w:szCs w:val="32"/>
        </w:rPr>
        <w:t>o dani z nehnuteľností</w:t>
      </w:r>
    </w:p>
    <w:p w:rsidR="00341679" w:rsidRDefault="00341679">
      <w:pPr>
        <w:jc w:val="center"/>
        <w:rPr>
          <w:b/>
          <w:bCs/>
        </w:rPr>
      </w:pPr>
    </w:p>
    <w:p w:rsidR="00341679" w:rsidRDefault="00341679">
      <w:pPr>
        <w:jc w:val="both"/>
      </w:pPr>
      <w:r>
        <w:t xml:space="preserve">Obecné zastupiteľstvo v Iliji podľa § 11 ods. 4 písm. d) zákona č. 369/1990 Zb. o obecnom zriadení v znení neskorších predpisov rozhodlo, že v nadväznosti na § 98 zákona č. 582/2004 </w:t>
      </w:r>
      <w:proofErr w:type="spellStart"/>
      <w:r>
        <w:t>Z.z</w:t>
      </w:r>
      <w:proofErr w:type="spellEnd"/>
      <w:r>
        <w:t xml:space="preserve">. o miestnych daniach a miestnom poplatku za komunálne odpady a drobné stavebné odpady v znení neskorších predpisov a zákona 527/2010,ktorým sa mení a  dopĺňa zákon č. 528/2004 </w:t>
      </w:r>
      <w:proofErr w:type="spellStart"/>
      <w:r>
        <w:t>Z.z</w:t>
      </w:r>
      <w:proofErr w:type="spellEnd"/>
      <w:r>
        <w:t xml:space="preserve">.,  </w:t>
      </w:r>
      <w:r w:rsidR="002A64BD">
        <w:t>v znení neskorších predpisov,</w:t>
      </w:r>
      <w:r>
        <w:t xml:space="preserve">  </w:t>
      </w:r>
      <w:r w:rsidR="002A64BD" w:rsidRPr="002A64BD">
        <w:rPr>
          <w:b/>
        </w:rPr>
        <w:t>u s t a n o v u j e</w:t>
      </w:r>
      <w:r w:rsidR="002A64BD">
        <w:t xml:space="preserve"> </w:t>
      </w:r>
      <w:r>
        <w:t xml:space="preserve">   pre katastrálne územie Ilija  toto</w:t>
      </w:r>
    </w:p>
    <w:p w:rsidR="00341679" w:rsidRDefault="00341679"/>
    <w:p w:rsidR="002B5F07" w:rsidRDefault="00341679">
      <w:pPr>
        <w:jc w:val="center"/>
        <w:rPr>
          <w:b/>
          <w:bCs/>
          <w:sz w:val="32"/>
          <w:szCs w:val="32"/>
        </w:rPr>
      </w:pPr>
      <w:r w:rsidRPr="002B5F07">
        <w:rPr>
          <w:b/>
          <w:bCs/>
          <w:sz w:val="32"/>
          <w:szCs w:val="32"/>
        </w:rPr>
        <w:t>Všeobecne záväzné nariadenie Obce Ilija</w:t>
      </w:r>
    </w:p>
    <w:p w:rsidR="00341679" w:rsidRPr="002B5F07" w:rsidRDefault="00341679">
      <w:pPr>
        <w:jc w:val="center"/>
        <w:rPr>
          <w:b/>
          <w:bCs/>
          <w:sz w:val="32"/>
          <w:szCs w:val="32"/>
        </w:rPr>
      </w:pPr>
      <w:r w:rsidRPr="002B5F07">
        <w:rPr>
          <w:b/>
          <w:bCs/>
          <w:sz w:val="32"/>
          <w:szCs w:val="32"/>
        </w:rPr>
        <w:t xml:space="preserve"> o dani z nehnuteľností </w:t>
      </w:r>
    </w:p>
    <w:p w:rsidR="00341679" w:rsidRDefault="00341679"/>
    <w:p w:rsidR="00341679" w:rsidRDefault="00341679"/>
    <w:p w:rsidR="00341679" w:rsidRDefault="00341679">
      <w:pPr>
        <w:jc w:val="center"/>
        <w:rPr>
          <w:b/>
          <w:bCs/>
        </w:rPr>
      </w:pPr>
      <w:r>
        <w:rPr>
          <w:b/>
          <w:bCs/>
        </w:rPr>
        <w:t>Úvodné ustanovenie</w:t>
      </w:r>
    </w:p>
    <w:p w:rsidR="00341679" w:rsidRDefault="00341679">
      <w:pPr>
        <w:jc w:val="center"/>
        <w:rPr>
          <w:b/>
          <w:bCs/>
        </w:rPr>
      </w:pPr>
      <w:r>
        <w:rPr>
          <w:b/>
          <w:bCs/>
        </w:rPr>
        <w:t>§1</w:t>
      </w:r>
    </w:p>
    <w:p w:rsidR="00341679" w:rsidRDefault="00341679">
      <w:pPr>
        <w:numPr>
          <w:ilvl w:val="0"/>
          <w:numId w:val="1"/>
        </w:numPr>
      </w:pPr>
      <w:r>
        <w:t>Daň z nehnuteľností zahŕňa:</w:t>
      </w:r>
    </w:p>
    <w:p w:rsidR="00341679" w:rsidRDefault="00341679">
      <w:pPr>
        <w:numPr>
          <w:ilvl w:val="1"/>
          <w:numId w:val="1"/>
        </w:numPr>
      </w:pPr>
      <w:r>
        <w:t>daň z pozemkov</w:t>
      </w:r>
    </w:p>
    <w:p w:rsidR="00341679" w:rsidRDefault="00341679">
      <w:pPr>
        <w:numPr>
          <w:ilvl w:val="1"/>
          <w:numId w:val="1"/>
        </w:numPr>
      </w:pPr>
      <w:r>
        <w:t>daň zo stavieb</w:t>
      </w:r>
    </w:p>
    <w:p w:rsidR="00341679" w:rsidRDefault="00341679">
      <w:pPr>
        <w:numPr>
          <w:ilvl w:val="1"/>
          <w:numId w:val="1"/>
        </w:numPr>
      </w:pPr>
      <w:r>
        <w:t>daň z bytov a nebytových priestorov v bytovom dome (ďalej len daň z bytov)</w:t>
      </w:r>
    </w:p>
    <w:p w:rsidR="00341679" w:rsidRDefault="00341679">
      <w:pPr>
        <w:ind w:left="720"/>
      </w:pPr>
    </w:p>
    <w:p w:rsidR="00341679" w:rsidRDefault="00341679">
      <w:pPr>
        <w:numPr>
          <w:ilvl w:val="0"/>
          <w:numId w:val="1"/>
        </w:numPr>
      </w:pPr>
      <w:r>
        <w:t xml:space="preserve">Základné ustanovenia o zdaňovaní pozemkov, stavieb a bytov sú uvedené v druhej časti zákona 582/2004 </w:t>
      </w:r>
      <w:proofErr w:type="spellStart"/>
      <w:r>
        <w:t>Z.z</w:t>
      </w:r>
      <w:proofErr w:type="spellEnd"/>
      <w:r>
        <w:t xml:space="preserve">. o miestnych daniach a miestnom poplatku za komunálne odpady a drobné stavebné odpady, </w:t>
      </w:r>
      <w:r w:rsidR="002A64BD">
        <w:t xml:space="preserve">v znení neskorších </w:t>
      </w:r>
      <w:proofErr w:type="spellStart"/>
      <w:r w:rsidR="002A64BD">
        <w:t>predpisov,</w:t>
      </w:r>
      <w:r>
        <w:t>ktoré</w:t>
      </w:r>
      <w:proofErr w:type="spellEnd"/>
      <w:r>
        <w:t xml:space="preserve"> upravujú daňovníka dane z nehnuteľností, základné ročné sadzby dane z nehnuteľností, ktoré môže obec týmto nariadením zvýšiť alebo znížiť, oslobodenie vybraných druhov pozemkov a zníženie dane správcom dane, vznik  a zánik daňovej povinnosti, povinnosť predkladania daňového priznania, vyrubenie dane a platenie dane.</w:t>
      </w:r>
    </w:p>
    <w:p w:rsidR="00341679" w:rsidRDefault="00341679"/>
    <w:p w:rsidR="00341679" w:rsidRDefault="00341679">
      <w:pPr>
        <w:jc w:val="center"/>
        <w:rPr>
          <w:b/>
          <w:bCs/>
        </w:rPr>
      </w:pPr>
      <w:proofErr w:type="spellStart"/>
      <w:r>
        <w:rPr>
          <w:b/>
          <w:bCs/>
        </w:rPr>
        <w:t>Čl.I</w:t>
      </w:r>
      <w:proofErr w:type="spellEnd"/>
      <w:r>
        <w:rPr>
          <w:b/>
          <w:bCs/>
        </w:rPr>
        <w:t>.</w:t>
      </w:r>
    </w:p>
    <w:p w:rsidR="00341679" w:rsidRDefault="00341679">
      <w:pPr>
        <w:jc w:val="center"/>
        <w:rPr>
          <w:b/>
          <w:bCs/>
        </w:rPr>
      </w:pPr>
      <w:r>
        <w:rPr>
          <w:b/>
          <w:bCs/>
        </w:rPr>
        <w:t>Daň z pozemkov</w:t>
      </w:r>
    </w:p>
    <w:p w:rsidR="00341679" w:rsidRDefault="00341679">
      <w:pPr>
        <w:jc w:val="center"/>
      </w:pPr>
      <w:r>
        <w:rPr>
          <w:b/>
          <w:bCs/>
        </w:rPr>
        <w:t>§ 2</w:t>
      </w:r>
    </w:p>
    <w:p w:rsidR="00341679" w:rsidRDefault="00341679">
      <w:pPr>
        <w:jc w:val="center"/>
      </w:pPr>
      <w:r>
        <w:t>Základ dane</w:t>
      </w:r>
    </w:p>
    <w:p w:rsidR="00341679" w:rsidRDefault="00341679"/>
    <w:p w:rsidR="00341679" w:rsidRDefault="00341679">
      <w:pPr>
        <w:numPr>
          <w:ilvl w:val="0"/>
          <w:numId w:val="2"/>
        </w:numPr>
      </w:pPr>
      <w:r>
        <w:t>Základom dane z pozemkov pre pozemky druhu orná pôda, chmeľnice, vinice, ovocné sady a trvalé trávnaté pozemky je hodnota pozemku bez porastov určená vynásobením výmery pozemku v m</w:t>
      </w:r>
      <w:r>
        <w:rPr>
          <w:vertAlign w:val="superscript"/>
        </w:rPr>
        <w:t>2</w:t>
      </w:r>
      <w:r>
        <w:t xml:space="preserve"> a hodnoty pôdy za 1 m</w:t>
      </w:r>
      <w:r>
        <w:rPr>
          <w:vertAlign w:val="superscript"/>
        </w:rPr>
        <w:t>2</w:t>
      </w:r>
      <w:r>
        <w:t xml:space="preserve"> uvedenej v prílohe č. 1 zákona č. 582/2004 </w:t>
      </w:r>
      <w:proofErr w:type="spellStart"/>
      <w:r>
        <w:t>Z.z</w:t>
      </w:r>
      <w:proofErr w:type="spellEnd"/>
      <w:r>
        <w:t xml:space="preserve">. o miestnych daniach a miestnom poplatku za komunálne odpady a drobné stavebné </w:t>
      </w:r>
      <w:proofErr w:type="spellStart"/>
      <w:r>
        <w:t>odpady</w:t>
      </w:r>
      <w:r w:rsidR="002A64BD">
        <w:t>,v</w:t>
      </w:r>
      <w:proofErr w:type="spellEnd"/>
      <w:r w:rsidR="002A64BD">
        <w:t xml:space="preserve"> znení neskorších predpisov</w:t>
      </w:r>
      <w:r>
        <w:t xml:space="preserve">  nasledovná:</w:t>
      </w:r>
    </w:p>
    <w:p w:rsidR="00341679" w:rsidRDefault="00341679">
      <w:pPr>
        <w:ind w:left="360"/>
        <w:rPr>
          <w:sz w:val="20"/>
          <w:szCs w:val="20"/>
          <w:vertAlign w:val="superscript"/>
        </w:rPr>
      </w:pPr>
      <w:r>
        <w:t>- katastrálne územie Ilija - orná pôda</w:t>
      </w:r>
      <w:r>
        <w:tab/>
        <w:t>0,1294 € /m</w:t>
      </w:r>
      <w:r>
        <w:rPr>
          <w:vertAlign w:val="superscript"/>
        </w:rPr>
        <w:t xml:space="preserve">2     </w:t>
      </w:r>
    </w:p>
    <w:p w:rsidR="00341679" w:rsidRDefault="00341679">
      <w:pPr>
        <w:ind w:left="360"/>
        <w:rPr>
          <w:vertAlign w:val="superscript"/>
        </w:rPr>
      </w:pPr>
      <w:r>
        <w:rPr>
          <w:vertAlign w:val="superscript"/>
        </w:rPr>
        <w:tab/>
      </w:r>
      <w:r>
        <w:rPr>
          <w:vertAlign w:val="superscript"/>
        </w:rPr>
        <w:tab/>
        <w:t xml:space="preserve"> </w:t>
      </w:r>
      <w:r>
        <w:t xml:space="preserve">                          TTP</w:t>
      </w:r>
      <w:r>
        <w:tab/>
      </w:r>
      <w:r>
        <w:tab/>
        <w:t>0,0275 € /m</w:t>
      </w:r>
      <w:r>
        <w:rPr>
          <w:vertAlign w:val="superscript"/>
        </w:rPr>
        <w:t>2</w:t>
      </w:r>
    </w:p>
    <w:p w:rsidR="00341679" w:rsidRDefault="00341679">
      <w:pPr>
        <w:ind w:left="360"/>
      </w:pPr>
      <w:r>
        <w:t xml:space="preserve">                                            Les                0,16€/m</w:t>
      </w:r>
      <w:r>
        <w:rPr>
          <w:vertAlign w:val="superscript"/>
        </w:rPr>
        <w:t xml:space="preserve">2 </w:t>
      </w:r>
    </w:p>
    <w:p w:rsidR="00341679" w:rsidRDefault="00341679">
      <w:pPr>
        <w:ind w:left="360"/>
        <w:rPr>
          <w:vertAlign w:val="superscript"/>
        </w:rPr>
      </w:pPr>
      <w:r>
        <w:rPr>
          <w:vertAlign w:val="superscript"/>
        </w:rPr>
        <w:tab/>
      </w:r>
      <w:r>
        <w:tab/>
      </w:r>
      <w:r>
        <w:rPr>
          <w:vertAlign w:val="superscript"/>
        </w:rPr>
        <w:tab/>
      </w:r>
    </w:p>
    <w:p w:rsidR="00341679" w:rsidRDefault="00341679">
      <w:pPr>
        <w:numPr>
          <w:ilvl w:val="0"/>
          <w:numId w:val="2"/>
        </w:numPr>
      </w:pPr>
      <w:r>
        <w:t xml:space="preserve">Základom dane z pozemkov pre lesné pozemky, na ktorých sú hospodárske lesy, rybníky s chovom rýb a za ostatné hospodársky využívané vodné plochy je hodnota pozemku </w:t>
      </w:r>
      <w:r>
        <w:lastRenderedPageBreak/>
        <w:t>určená vynásobením výmery pozemku v m</w:t>
      </w:r>
      <w:r>
        <w:rPr>
          <w:vertAlign w:val="superscript"/>
        </w:rPr>
        <w:t>2</w:t>
      </w:r>
      <w:r>
        <w:t xml:space="preserve"> a hodnoty pozemku zistenej na 1 m</w:t>
      </w:r>
      <w:r>
        <w:rPr>
          <w:vertAlign w:val="superscript"/>
        </w:rPr>
        <w:t>2</w:t>
      </w:r>
      <w:r>
        <w:t xml:space="preserve">  , ktorá je 0,16 €/m</w:t>
      </w:r>
      <w:r>
        <w:rPr>
          <w:vertAlign w:val="superscript"/>
        </w:rPr>
        <w:t xml:space="preserve">2 </w:t>
      </w:r>
      <w:r>
        <w:t>.</w:t>
      </w:r>
    </w:p>
    <w:p w:rsidR="00341679" w:rsidRDefault="00341679">
      <w:pPr>
        <w:numPr>
          <w:ilvl w:val="0"/>
          <w:numId w:val="2"/>
        </w:numPr>
      </w:pPr>
      <w:r>
        <w:t>Základom dane z pozemkov pre pozemky druhu záhrada, zastavané plochy a nádvoria, stavebné pozemky a ostatné plochy je hodnota pozemku určená vynásobením výmery pozemkov v m</w:t>
      </w:r>
      <w:r>
        <w:rPr>
          <w:vertAlign w:val="superscript"/>
        </w:rPr>
        <w:t>2</w:t>
      </w:r>
      <w:r>
        <w:t xml:space="preserve"> a hodnoty pozemkov za 1 m</w:t>
      </w:r>
      <w:r>
        <w:rPr>
          <w:vertAlign w:val="superscript"/>
        </w:rPr>
        <w:t>2</w:t>
      </w:r>
      <w:r>
        <w:t xml:space="preserve"> uvedenej v prílohe č. 2 zákona č. 582/2004 </w:t>
      </w:r>
      <w:proofErr w:type="spellStart"/>
      <w:r>
        <w:t>Z.z</w:t>
      </w:r>
      <w:proofErr w:type="spellEnd"/>
      <w:r>
        <w:t>. o miestnych daniach a miestnom poplatku za komunálne odpady a drobné stavebné odpady.(obec do 1000 obyvateľov) Hodnota pozemkov  je nasledovná:</w:t>
      </w:r>
    </w:p>
    <w:p w:rsidR="00341679" w:rsidRDefault="00341679">
      <w:pPr>
        <w:ind w:left="360"/>
      </w:pPr>
      <w:r>
        <w:t xml:space="preserve">- stavebné pozemky </w:t>
      </w:r>
      <w:r>
        <w:tab/>
      </w:r>
      <w:r>
        <w:tab/>
      </w:r>
      <w:r>
        <w:tab/>
        <w:t xml:space="preserve">    13,2700  €    /m</w:t>
      </w:r>
      <w:r>
        <w:rPr>
          <w:vertAlign w:val="superscript"/>
        </w:rPr>
        <w:t>2</w:t>
      </w:r>
    </w:p>
    <w:p w:rsidR="00341679" w:rsidRDefault="00341679">
      <w:pPr>
        <w:ind w:left="360"/>
      </w:pPr>
      <w:r>
        <w:t>- záhrady</w:t>
      </w:r>
      <w:r>
        <w:tab/>
      </w:r>
      <w:r>
        <w:tab/>
      </w:r>
      <w:r>
        <w:tab/>
      </w:r>
      <w:r>
        <w:tab/>
      </w:r>
      <w:r>
        <w:tab/>
        <w:t xml:space="preserve">      1,3200  €    /m</w:t>
      </w:r>
      <w:r>
        <w:rPr>
          <w:vertAlign w:val="superscript"/>
        </w:rPr>
        <w:t>2</w:t>
      </w:r>
    </w:p>
    <w:p w:rsidR="00341679" w:rsidRDefault="00341679">
      <w:pPr>
        <w:ind w:left="360"/>
      </w:pPr>
      <w:r>
        <w:t>- zastavané plochy a nádvoria</w:t>
      </w:r>
      <w:r>
        <w:tab/>
      </w:r>
      <w:r>
        <w:tab/>
        <w:t xml:space="preserve">      1,3200  €    /m</w:t>
      </w:r>
      <w:r>
        <w:rPr>
          <w:vertAlign w:val="superscript"/>
        </w:rPr>
        <w:t>2</w:t>
      </w:r>
    </w:p>
    <w:p w:rsidR="00341679" w:rsidRDefault="00341679">
      <w:pPr>
        <w:ind w:left="360"/>
      </w:pPr>
      <w:r>
        <w:t>- ostatné plochy</w:t>
      </w:r>
      <w:r>
        <w:tab/>
      </w:r>
      <w:r>
        <w:tab/>
      </w:r>
      <w:r>
        <w:tab/>
      </w:r>
      <w:r>
        <w:tab/>
        <w:t xml:space="preserve">      1,3200  €    /m</w:t>
      </w:r>
      <w:r>
        <w:rPr>
          <w:vertAlign w:val="superscript"/>
        </w:rPr>
        <w:t>2</w:t>
      </w:r>
    </w:p>
    <w:p w:rsidR="00341679" w:rsidRDefault="00341679"/>
    <w:p w:rsidR="00341679" w:rsidRDefault="00341679">
      <w:pPr>
        <w:pStyle w:val="Hlavika"/>
        <w:tabs>
          <w:tab w:val="clear" w:pos="4536"/>
          <w:tab w:val="clear" w:pos="9072"/>
        </w:tabs>
      </w:pPr>
    </w:p>
    <w:p w:rsidR="00341679" w:rsidRDefault="00341679">
      <w:pPr>
        <w:jc w:val="center"/>
        <w:rPr>
          <w:b/>
          <w:bCs/>
        </w:rPr>
      </w:pPr>
      <w:r>
        <w:rPr>
          <w:b/>
          <w:bCs/>
        </w:rPr>
        <w:t>§ 3</w:t>
      </w:r>
    </w:p>
    <w:p w:rsidR="00341679" w:rsidRPr="00881677" w:rsidRDefault="00341679">
      <w:pPr>
        <w:pStyle w:val="Nadpis1"/>
      </w:pPr>
      <w:r w:rsidRPr="00881677">
        <w:t>Sadzba dane</w:t>
      </w:r>
    </w:p>
    <w:p w:rsidR="00341679" w:rsidRPr="00881677" w:rsidRDefault="00341679"/>
    <w:p w:rsidR="00341679" w:rsidRPr="00881677" w:rsidRDefault="00341679">
      <w:pPr>
        <w:numPr>
          <w:ilvl w:val="0"/>
          <w:numId w:val="3"/>
        </w:numPr>
      </w:pPr>
      <w:r w:rsidRPr="00881677">
        <w:t>Ročná sadzba dane z pozemkov v katastri Ilija je:</w:t>
      </w:r>
    </w:p>
    <w:p w:rsidR="00341679" w:rsidRPr="00881677" w:rsidRDefault="00341679">
      <w:pPr>
        <w:numPr>
          <w:ilvl w:val="0"/>
          <w:numId w:val="13"/>
        </w:numPr>
      </w:pPr>
      <w:r w:rsidRPr="00881677">
        <w:t xml:space="preserve">orná pôda, ovocné sady        </w:t>
      </w:r>
      <w:r w:rsidRPr="00881677">
        <w:tab/>
      </w:r>
      <w:r w:rsidRPr="00881677">
        <w:tab/>
      </w:r>
      <w:r w:rsidRPr="00881677">
        <w:tab/>
      </w:r>
      <w:r w:rsidR="002A64BD" w:rsidRPr="00881677">
        <w:rPr>
          <w:b/>
          <w:bCs/>
        </w:rPr>
        <w:t>0,9</w:t>
      </w:r>
      <w:r w:rsidRPr="00881677">
        <w:t xml:space="preserve"> % zo základu dane</w:t>
      </w:r>
    </w:p>
    <w:p w:rsidR="00341679" w:rsidRPr="00881677" w:rsidRDefault="00341679">
      <w:pPr>
        <w:numPr>
          <w:ilvl w:val="0"/>
          <w:numId w:val="13"/>
        </w:numPr>
      </w:pPr>
      <w:r w:rsidRPr="00881677">
        <w:t xml:space="preserve">trvalé trávne porasty             </w:t>
      </w:r>
      <w:r w:rsidRPr="00881677">
        <w:tab/>
      </w:r>
      <w:r w:rsidRPr="00881677">
        <w:tab/>
      </w:r>
      <w:r w:rsidRPr="00881677">
        <w:tab/>
      </w:r>
      <w:r w:rsidRPr="00881677">
        <w:rPr>
          <w:b/>
          <w:bCs/>
        </w:rPr>
        <w:t>0,</w:t>
      </w:r>
      <w:r w:rsidR="002A64BD" w:rsidRPr="00881677">
        <w:rPr>
          <w:b/>
          <w:bCs/>
        </w:rPr>
        <w:t>9</w:t>
      </w:r>
      <w:r w:rsidRPr="00881677">
        <w:t xml:space="preserve"> % zo základu dane</w:t>
      </w:r>
      <w:bookmarkStart w:id="0" w:name="_GoBack"/>
      <w:bookmarkEnd w:id="0"/>
    </w:p>
    <w:p w:rsidR="00341679" w:rsidRPr="00881677" w:rsidRDefault="00341679">
      <w:pPr>
        <w:numPr>
          <w:ilvl w:val="0"/>
          <w:numId w:val="13"/>
        </w:numPr>
      </w:pPr>
      <w:r w:rsidRPr="00881677">
        <w:t>záhrady</w:t>
      </w:r>
      <w:r w:rsidRPr="00881677">
        <w:tab/>
      </w:r>
      <w:r w:rsidRPr="00881677">
        <w:tab/>
      </w:r>
      <w:r w:rsidRPr="00881677">
        <w:tab/>
        <w:t xml:space="preserve">   </w:t>
      </w:r>
      <w:r w:rsidRPr="00881677">
        <w:tab/>
      </w:r>
      <w:r w:rsidRPr="00881677">
        <w:tab/>
      </w:r>
      <w:r w:rsidRPr="00881677">
        <w:tab/>
      </w:r>
      <w:r w:rsidRPr="00881677">
        <w:rPr>
          <w:b/>
          <w:bCs/>
        </w:rPr>
        <w:t>0,5</w:t>
      </w:r>
      <w:r w:rsidRPr="00881677">
        <w:t xml:space="preserve"> % zo základu dane</w:t>
      </w:r>
    </w:p>
    <w:p w:rsidR="00341679" w:rsidRPr="00881677" w:rsidRDefault="00341679">
      <w:pPr>
        <w:numPr>
          <w:ilvl w:val="0"/>
          <w:numId w:val="13"/>
        </w:numPr>
      </w:pPr>
      <w:r w:rsidRPr="00881677">
        <w:t>lesné pozemky, na ktorých sú hospodárske lesy</w:t>
      </w:r>
      <w:r w:rsidR="002A64BD" w:rsidRPr="00881677">
        <w:t xml:space="preserve">,                                                 rybníky a ostatné hospodársky využívané                                                                     vodné plochy </w:t>
      </w:r>
      <w:r w:rsidRPr="00881677">
        <w:t xml:space="preserve"> </w:t>
      </w:r>
      <w:r w:rsidRPr="00881677">
        <w:tab/>
      </w:r>
      <w:r w:rsidR="002A64BD" w:rsidRPr="00881677">
        <w:t xml:space="preserve">                                               </w:t>
      </w:r>
      <w:r w:rsidRPr="00881677">
        <w:rPr>
          <w:b/>
          <w:bCs/>
        </w:rPr>
        <w:t>2,5</w:t>
      </w:r>
      <w:r w:rsidRPr="00881677">
        <w:t xml:space="preserve"> % zo základu dane</w:t>
      </w:r>
    </w:p>
    <w:p w:rsidR="00341679" w:rsidRPr="00881677" w:rsidRDefault="00341679">
      <w:pPr>
        <w:numPr>
          <w:ilvl w:val="0"/>
          <w:numId w:val="13"/>
        </w:numPr>
      </w:pPr>
      <w:r w:rsidRPr="00881677">
        <w:t>zastavané plochy a nádvoria</w:t>
      </w:r>
      <w:r w:rsidRPr="00881677">
        <w:tab/>
      </w:r>
      <w:r w:rsidRPr="00881677">
        <w:tab/>
      </w:r>
      <w:r w:rsidRPr="00881677">
        <w:tab/>
      </w:r>
      <w:r w:rsidRPr="00881677">
        <w:rPr>
          <w:b/>
          <w:bCs/>
        </w:rPr>
        <w:t>0,5</w:t>
      </w:r>
      <w:r w:rsidRPr="00881677">
        <w:t xml:space="preserve"> % zo základu dane</w:t>
      </w:r>
    </w:p>
    <w:p w:rsidR="00341679" w:rsidRPr="00881677" w:rsidRDefault="00341679">
      <w:pPr>
        <w:numPr>
          <w:ilvl w:val="0"/>
          <w:numId w:val="13"/>
        </w:numPr>
      </w:pPr>
      <w:r w:rsidRPr="00881677">
        <w:t>stavebné pozemky</w:t>
      </w:r>
      <w:r w:rsidRPr="00881677">
        <w:tab/>
      </w:r>
      <w:r w:rsidRPr="00881677">
        <w:tab/>
      </w:r>
      <w:r w:rsidRPr="00881677">
        <w:tab/>
      </w:r>
      <w:r w:rsidRPr="00881677">
        <w:tab/>
      </w:r>
      <w:r w:rsidRPr="00881677">
        <w:tab/>
      </w:r>
      <w:r w:rsidRPr="00881677">
        <w:rPr>
          <w:b/>
          <w:bCs/>
        </w:rPr>
        <w:t>0,5</w:t>
      </w:r>
      <w:r w:rsidRPr="00881677">
        <w:t xml:space="preserve"> % zo základu dane</w:t>
      </w:r>
    </w:p>
    <w:p w:rsidR="00341679" w:rsidRPr="00881677" w:rsidRDefault="00341679">
      <w:pPr>
        <w:numPr>
          <w:ilvl w:val="0"/>
          <w:numId w:val="13"/>
        </w:numPr>
      </w:pPr>
      <w:r w:rsidRPr="00881677">
        <w:t>ostatné plochy</w:t>
      </w:r>
      <w:r w:rsidRPr="00881677">
        <w:tab/>
      </w:r>
      <w:r w:rsidRPr="00881677">
        <w:tab/>
      </w:r>
      <w:r w:rsidRPr="00881677">
        <w:tab/>
      </w:r>
      <w:r w:rsidRPr="00881677">
        <w:tab/>
      </w:r>
      <w:r w:rsidRPr="00881677">
        <w:tab/>
      </w:r>
      <w:r w:rsidRPr="00881677">
        <w:rPr>
          <w:b/>
          <w:bCs/>
        </w:rPr>
        <w:t>0,5</w:t>
      </w:r>
      <w:r w:rsidRPr="00881677">
        <w:t xml:space="preserve"> % zo základu dane</w:t>
      </w:r>
    </w:p>
    <w:p w:rsidR="00341679" w:rsidRPr="00881677" w:rsidRDefault="00341679">
      <w:pPr>
        <w:ind w:left="720"/>
      </w:pPr>
      <w:r w:rsidRPr="00881677">
        <w:tab/>
      </w:r>
    </w:p>
    <w:p w:rsidR="00341679" w:rsidRDefault="00341679">
      <w:pPr>
        <w:jc w:val="center"/>
        <w:rPr>
          <w:b/>
          <w:bCs/>
        </w:rPr>
      </w:pPr>
      <w:proofErr w:type="spellStart"/>
      <w:r>
        <w:rPr>
          <w:b/>
          <w:bCs/>
        </w:rPr>
        <w:t>Čl.II</w:t>
      </w:r>
      <w:proofErr w:type="spellEnd"/>
      <w:r>
        <w:rPr>
          <w:b/>
          <w:bCs/>
        </w:rPr>
        <w:t>.</w:t>
      </w:r>
    </w:p>
    <w:p w:rsidR="00341679" w:rsidRDefault="00341679">
      <w:pPr>
        <w:jc w:val="center"/>
        <w:rPr>
          <w:b/>
          <w:bCs/>
        </w:rPr>
      </w:pPr>
      <w:r>
        <w:rPr>
          <w:b/>
          <w:bCs/>
        </w:rPr>
        <w:t>Daň zo stavieb</w:t>
      </w:r>
    </w:p>
    <w:p w:rsidR="00341679" w:rsidRDefault="00341679">
      <w:pPr>
        <w:jc w:val="center"/>
        <w:rPr>
          <w:b/>
          <w:bCs/>
        </w:rPr>
      </w:pPr>
      <w:r>
        <w:rPr>
          <w:b/>
          <w:bCs/>
        </w:rPr>
        <w:t>§ 4</w:t>
      </w:r>
    </w:p>
    <w:p w:rsidR="002A64BD" w:rsidRDefault="002A64BD">
      <w:pPr>
        <w:jc w:val="center"/>
        <w:rPr>
          <w:b/>
          <w:bCs/>
        </w:rPr>
      </w:pPr>
    </w:p>
    <w:p w:rsidR="002A64BD" w:rsidRPr="002A64BD" w:rsidRDefault="002A64BD" w:rsidP="002A64BD">
      <w:pPr>
        <w:pStyle w:val="Default"/>
        <w:jc w:val="center"/>
        <w:rPr>
          <w:rFonts w:ascii="Times New Roman" w:hAnsi="Times New Roman" w:cs="Times New Roman"/>
          <w:sz w:val="23"/>
          <w:szCs w:val="23"/>
        </w:rPr>
      </w:pPr>
      <w:r w:rsidRPr="002A64BD">
        <w:rPr>
          <w:rFonts w:ascii="Times New Roman" w:hAnsi="Times New Roman" w:cs="Times New Roman"/>
          <w:b/>
          <w:bCs/>
          <w:sz w:val="23"/>
          <w:szCs w:val="23"/>
        </w:rPr>
        <w:t>Predmet dane</w:t>
      </w:r>
    </w:p>
    <w:p w:rsidR="002A64BD" w:rsidRPr="00F45179" w:rsidRDefault="002A64BD" w:rsidP="002A64BD">
      <w:pPr>
        <w:pStyle w:val="Default"/>
        <w:rPr>
          <w:rFonts w:ascii="Times New Roman" w:hAnsi="Times New Roman" w:cs="Times New Roman"/>
        </w:rPr>
      </w:pPr>
      <w:r w:rsidRPr="00F45179">
        <w:rPr>
          <w:rFonts w:ascii="Times New Roman" w:hAnsi="Times New Roman" w:cs="Times New Roman"/>
        </w:rPr>
        <w:t xml:space="preserve">1. Predmetom dane zo stavieb sú stavby na území Slovenskej republiky v tomto členení: a) stavby na bývanie a drobné stavby, ktoré majú doplnkovú funkciu pre hlavnú stavbu, b) stavby na pôdohospodársku produkciu, skleníky, stavby pre vodné hospodárstvo, stavby využívané na skladovanie vlastnej pôdohospodárskej produkcie vrátane stavieb na vlastnú administratívu, </w:t>
      </w:r>
    </w:p>
    <w:p w:rsidR="002A64BD" w:rsidRPr="00F45179" w:rsidRDefault="002A64BD" w:rsidP="002A64BD">
      <w:pPr>
        <w:pStyle w:val="Default"/>
        <w:rPr>
          <w:rFonts w:ascii="Times New Roman" w:hAnsi="Times New Roman" w:cs="Times New Roman"/>
        </w:rPr>
      </w:pPr>
      <w:r w:rsidRPr="00F45179">
        <w:rPr>
          <w:rFonts w:ascii="Times New Roman" w:hAnsi="Times New Roman" w:cs="Times New Roman"/>
        </w:rPr>
        <w:t xml:space="preserve">c) chaty a stavby na individuálnu rekreáciu, d) samostatne stojace garáže e) stavby hromadných garáží </w:t>
      </w:r>
    </w:p>
    <w:p w:rsidR="002A64BD" w:rsidRPr="00F45179" w:rsidRDefault="002A64BD" w:rsidP="002A64BD">
      <w:pPr>
        <w:pStyle w:val="Default"/>
        <w:rPr>
          <w:rFonts w:ascii="Times New Roman" w:hAnsi="Times New Roman" w:cs="Times New Roman"/>
        </w:rPr>
      </w:pPr>
      <w:r w:rsidRPr="00F45179">
        <w:rPr>
          <w:rFonts w:ascii="Times New Roman" w:hAnsi="Times New Roman" w:cs="Times New Roman"/>
        </w:rPr>
        <w:t xml:space="preserve">f) stavby hromadných garáží umiestnené pod zemou </w:t>
      </w:r>
    </w:p>
    <w:p w:rsidR="002A64BD" w:rsidRPr="00F45179" w:rsidRDefault="002A64BD" w:rsidP="002A64BD">
      <w:pPr>
        <w:pStyle w:val="Default"/>
        <w:rPr>
          <w:rFonts w:ascii="Times New Roman" w:hAnsi="Times New Roman" w:cs="Times New Roman"/>
        </w:rPr>
      </w:pPr>
      <w:r w:rsidRPr="00F45179">
        <w:rPr>
          <w:rFonts w:ascii="Times New Roman" w:hAnsi="Times New Roman" w:cs="Times New Roman"/>
        </w:rPr>
        <w:t xml:space="preserve">g) priemyselné stavby, stavby slúžiace energetike, stavby slúžiace stavebníctvu, stavby využívané na skladovanie vlastnej produkcie vrátane stavieb na vlastnú administratívu, h) stavby na ostatné podnikanie a na zárobkovú činnosť, skladovanie a administratívu súvisiacu s ostatným podnikaním a so zárobkovou činnosťou, i) ostatné stavby neuvedené v písmenách a) až h). </w:t>
      </w:r>
    </w:p>
    <w:p w:rsidR="002A64BD" w:rsidRPr="00F45179" w:rsidRDefault="002A64BD" w:rsidP="00F45179">
      <w:pPr>
        <w:rPr>
          <w:b/>
          <w:bCs/>
        </w:rPr>
      </w:pPr>
      <w:r w:rsidRPr="00F45179">
        <w:t>2. Predmetom dane zo stavieb sú stavby, ktoré majú jedno alebo viac nadzemných podlaží alebo podzemných podlaží, spojené so zemou pevným základom, alebo ukotvené pilótami. Na daňovú povinnosť nemá vplyv skutočnosť, že stavba sa prestala užívať.</w:t>
      </w:r>
    </w:p>
    <w:p w:rsidR="002A64BD" w:rsidRDefault="002A64BD">
      <w:pPr>
        <w:jc w:val="center"/>
        <w:rPr>
          <w:b/>
          <w:bCs/>
        </w:rPr>
      </w:pPr>
    </w:p>
    <w:p w:rsidR="00341679" w:rsidRDefault="00341679">
      <w:pPr>
        <w:pStyle w:val="Nadpis1"/>
      </w:pPr>
      <w:r>
        <w:lastRenderedPageBreak/>
        <w:t>Sadzba dane</w:t>
      </w:r>
    </w:p>
    <w:p w:rsidR="00F45179" w:rsidRDefault="00F45179" w:rsidP="00F45179">
      <w:pPr>
        <w:jc w:val="center"/>
        <w:rPr>
          <w:b/>
        </w:rPr>
      </w:pPr>
      <w:r w:rsidRPr="000D720C">
        <w:rPr>
          <w:b/>
        </w:rPr>
        <w:t>§5</w:t>
      </w:r>
    </w:p>
    <w:p w:rsidR="00F45179" w:rsidRPr="00F45179" w:rsidRDefault="00F45179" w:rsidP="00F45179">
      <w:pPr>
        <w:jc w:val="center"/>
        <w:rPr>
          <w:b/>
        </w:rPr>
      </w:pPr>
    </w:p>
    <w:p w:rsidR="00341679" w:rsidRPr="000D720C" w:rsidRDefault="00341679">
      <w:pPr>
        <w:numPr>
          <w:ilvl w:val="0"/>
          <w:numId w:val="4"/>
        </w:numPr>
      </w:pPr>
      <w:r w:rsidRPr="000D720C">
        <w:t>Ročná sadzba dane zo stavieb sa v katastrálnom území Ilija  určuje takto:</w:t>
      </w:r>
    </w:p>
    <w:p w:rsidR="00341679" w:rsidRPr="000D720C" w:rsidRDefault="00341679">
      <w:pPr>
        <w:numPr>
          <w:ilvl w:val="0"/>
          <w:numId w:val="5"/>
        </w:numPr>
      </w:pPr>
      <w:r w:rsidRPr="000D720C">
        <w:rPr>
          <w:b/>
          <w:bCs/>
        </w:rPr>
        <w:t xml:space="preserve">0,041 € </w:t>
      </w:r>
      <w:r w:rsidRPr="000D720C">
        <w:t>/m</w:t>
      </w:r>
      <w:r w:rsidRPr="000D720C">
        <w:rPr>
          <w:vertAlign w:val="superscript"/>
        </w:rPr>
        <w:t>2</w:t>
      </w:r>
      <w:r w:rsidRPr="000D720C">
        <w:t xml:space="preserve"> za stavby na bývanie a drobné stavby, ktoré majú doplnkovú funkciu pre hlavnú stavbu</w:t>
      </w:r>
    </w:p>
    <w:p w:rsidR="00341679" w:rsidRPr="000D720C" w:rsidRDefault="00341679">
      <w:pPr>
        <w:numPr>
          <w:ilvl w:val="0"/>
          <w:numId w:val="5"/>
        </w:numPr>
      </w:pPr>
      <w:r w:rsidRPr="000D720C">
        <w:rPr>
          <w:b/>
          <w:bCs/>
        </w:rPr>
        <w:t xml:space="preserve">0,041 € </w:t>
      </w:r>
      <w:r w:rsidRPr="000D720C">
        <w:t>/m</w:t>
      </w:r>
      <w:r w:rsidRPr="000D720C">
        <w:rPr>
          <w:vertAlign w:val="superscript"/>
        </w:rPr>
        <w:t>2</w:t>
      </w:r>
      <w:r w:rsidRPr="000D720C">
        <w:t xml:space="preserve"> za stavby na pôdohospodársku produkciu, skleníky, stavby pre vodné hospodárstvo, stavby využívané na skladovanie vlastnej pôdohospodárskej produkcie vrátane stavieb na vlastnú administratívu.  </w:t>
      </w:r>
    </w:p>
    <w:p w:rsidR="00341679" w:rsidRPr="000D720C" w:rsidRDefault="00341679">
      <w:pPr>
        <w:numPr>
          <w:ilvl w:val="0"/>
          <w:numId w:val="5"/>
        </w:numPr>
      </w:pPr>
      <w:r w:rsidRPr="000D720C">
        <w:rPr>
          <w:b/>
          <w:bCs/>
        </w:rPr>
        <w:t xml:space="preserve">0,165 € </w:t>
      </w:r>
      <w:r w:rsidRPr="000D720C">
        <w:t>/m</w:t>
      </w:r>
      <w:r w:rsidRPr="000D720C">
        <w:rPr>
          <w:vertAlign w:val="superscript"/>
        </w:rPr>
        <w:t>2</w:t>
      </w:r>
      <w:r w:rsidRPr="000D720C">
        <w:t xml:space="preserve"> za stavby rekreačných a záhradkárskych chát a domčekov na individuálnu rekreáciu</w:t>
      </w:r>
    </w:p>
    <w:p w:rsidR="00341679" w:rsidRPr="000D720C" w:rsidRDefault="00341679">
      <w:pPr>
        <w:numPr>
          <w:ilvl w:val="0"/>
          <w:numId w:val="5"/>
        </w:numPr>
      </w:pPr>
      <w:r w:rsidRPr="000D720C">
        <w:rPr>
          <w:b/>
          <w:bCs/>
        </w:rPr>
        <w:t xml:space="preserve">0,165 € </w:t>
      </w:r>
      <w:r w:rsidRPr="000D720C">
        <w:t>/m</w:t>
      </w:r>
      <w:r w:rsidRPr="000D720C">
        <w:rPr>
          <w:vertAlign w:val="superscript"/>
        </w:rPr>
        <w:t>2</w:t>
      </w:r>
      <w:r w:rsidRPr="000D720C">
        <w:t xml:space="preserve"> za stavby samostatne stojacich garáží a samostatné stavby hromadných garáží a stavby určené alebo používané na tieto účely, postavené mimo bytových domov</w:t>
      </w:r>
    </w:p>
    <w:p w:rsidR="00341679" w:rsidRPr="000D720C" w:rsidRDefault="00341679">
      <w:pPr>
        <w:numPr>
          <w:ilvl w:val="0"/>
          <w:numId w:val="5"/>
        </w:numPr>
      </w:pPr>
      <w:r w:rsidRPr="000D720C">
        <w:rPr>
          <w:b/>
          <w:bCs/>
        </w:rPr>
        <w:t xml:space="preserve">0,331 € </w:t>
      </w:r>
      <w:r w:rsidRPr="000D720C">
        <w:t>/m</w:t>
      </w:r>
      <w:r w:rsidRPr="000D720C">
        <w:rPr>
          <w:vertAlign w:val="superscript"/>
        </w:rPr>
        <w:t>2</w:t>
      </w:r>
      <w:r w:rsidRPr="000D720C">
        <w:t xml:space="preserve"> za priemyselné stavby a stavby slúžiace energetike, stavby slúžiace stavebníctvu, stavby využívané na skladovanie vlastnej produkcie vrátane stavieb na vlastnú administratívu</w:t>
      </w:r>
    </w:p>
    <w:p w:rsidR="00341679" w:rsidRPr="000D720C" w:rsidRDefault="00341679">
      <w:pPr>
        <w:numPr>
          <w:ilvl w:val="0"/>
          <w:numId w:val="5"/>
        </w:numPr>
      </w:pPr>
      <w:r w:rsidRPr="000D720C">
        <w:rPr>
          <w:b/>
          <w:bCs/>
        </w:rPr>
        <w:t>0,</w:t>
      </w:r>
      <w:r w:rsidR="00CC121F" w:rsidRPr="000D720C">
        <w:rPr>
          <w:b/>
          <w:bCs/>
        </w:rPr>
        <w:t>410</w:t>
      </w:r>
      <w:r w:rsidRPr="000D720C">
        <w:rPr>
          <w:b/>
          <w:bCs/>
        </w:rPr>
        <w:t xml:space="preserve"> € </w:t>
      </w:r>
      <w:r w:rsidRPr="000D720C">
        <w:t>/m</w:t>
      </w:r>
      <w:r w:rsidRPr="000D720C">
        <w:rPr>
          <w:vertAlign w:val="superscript"/>
        </w:rPr>
        <w:t>2</w:t>
      </w:r>
      <w:r w:rsidRPr="000D720C">
        <w:t xml:space="preserve"> za stavbu na ostatné podnikanie a na zárobkovú činnosť, skladovanie a administratívu súvisiacu s ostatným podnikaním a zárobkovou činnosťou </w:t>
      </w:r>
    </w:p>
    <w:p w:rsidR="00341679" w:rsidRPr="000D720C" w:rsidRDefault="00341679">
      <w:pPr>
        <w:numPr>
          <w:ilvl w:val="0"/>
          <w:numId w:val="5"/>
        </w:numPr>
      </w:pPr>
      <w:r w:rsidRPr="000D720C">
        <w:rPr>
          <w:b/>
          <w:bCs/>
        </w:rPr>
        <w:t xml:space="preserve">0,165 € </w:t>
      </w:r>
      <w:r w:rsidRPr="000D720C">
        <w:t>/m</w:t>
      </w:r>
      <w:r w:rsidRPr="000D720C">
        <w:rPr>
          <w:vertAlign w:val="superscript"/>
        </w:rPr>
        <w:t>2</w:t>
      </w:r>
      <w:r w:rsidRPr="000D720C">
        <w:t xml:space="preserve"> za ostatné stavby</w:t>
      </w:r>
      <w:r w:rsidR="000D720C">
        <w:t xml:space="preserve"> </w:t>
      </w:r>
      <w:r w:rsidR="000D720C" w:rsidRPr="000D720C">
        <w:t>neuvedené v písmenách a) a f).</w:t>
      </w:r>
    </w:p>
    <w:p w:rsidR="00341679" w:rsidRDefault="00341679"/>
    <w:p w:rsidR="00341679" w:rsidRDefault="00341679">
      <w:pPr>
        <w:numPr>
          <w:ilvl w:val="0"/>
          <w:numId w:val="4"/>
        </w:numPr>
      </w:pPr>
      <w:r>
        <w:t xml:space="preserve">Správca dane určuje príplatok za podlažie v sume </w:t>
      </w:r>
      <w:r>
        <w:rPr>
          <w:b/>
          <w:bCs/>
        </w:rPr>
        <w:t>0,041 €</w:t>
      </w:r>
      <w:r>
        <w:t xml:space="preserve"> za každé ďalšie podlažie okrem prvého nadzemného podlažia. </w:t>
      </w:r>
    </w:p>
    <w:p w:rsidR="00341679" w:rsidRDefault="00341679">
      <w:pPr>
        <w:pStyle w:val="Hlavika"/>
        <w:tabs>
          <w:tab w:val="clear" w:pos="4536"/>
          <w:tab w:val="clear" w:pos="9072"/>
        </w:tabs>
      </w:pPr>
    </w:p>
    <w:p w:rsidR="00341679" w:rsidRDefault="00341679">
      <w:pPr>
        <w:pStyle w:val="Hlavika"/>
        <w:tabs>
          <w:tab w:val="clear" w:pos="4536"/>
          <w:tab w:val="clear" w:pos="9072"/>
        </w:tabs>
      </w:pPr>
    </w:p>
    <w:p w:rsidR="00341679" w:rsidRDefault="00341679">
      <w:pPr>
        <w:jc w:val="center"/>
        <w:rPr>
          <w:b/>
          <w:bCs/>
        </w:rPr>
      </w:pPr>
      <w:r>
        <w:rPr>
          <w:b/>
          <w:bCs/>
        </w:rPr>
        <w:t>Čl. III</w:t>
      </w:r>
    </w:p>
    <w:p w:rsidR="00341679" w:rsidRDefault="00341679">
      <w:pPr>
        <w:jc w:val="center"/>
        <w:rPr>
          <w:b/>
          <w:bCs/>
        </w:rPr>
      </w:pPr>
      <w:r>
        <w:rPr>
          <w:b/>
          <w:bCs/>
        </w:rPr>
        <w:t>Daň z bytov</w:t>
      </w:r>
    </w:p>
    <w:p w:rsidR="00341679" w:rsidRDefault="000D720C">
      <w:pPr>
        <w:jc w:val="center"/>
        <w:rPr>
          <w:b/>
          <w:bCs/>
        </w:rPr>
      </w:pPr>
      <w:r>
        <w:rPr>
          <w:b/>
          <w:bCs/>
        </w:rPr>
        <w:t>§ 6</w:t>
      </w:r>
    </w:p>
    <w:p w:rsidR="00341679" w:rsidRDefault="00341679">
      <w:pPr>
        <w:pStyle w:val="Nadpis1"/>
      </w:pPr>
      <w:r>
        <w:t>Sadzba dane</w:t>
      </w:r>
    </w:p>
    <w:p w:rsidR="00341679" w:rsidRDefault="00341679">
      <w:pPr>
        <w:numPr>
          <w:ilvl w:val="0"/>
          <w:numId w:val="6"/>
        </w:numPr>
      </w:pPr>
      <w:r>
        <w:t xml:space="preserve">Ročná sadzba dane z bytov uvedená sa v obci určuje vo výške:   </w:t>
      </w:r>
      <w:r>
        <w:rPr>
          <w:b/>
          <w:bCs/>
        </w:rPr>
        <w:t>0,033 €</w:t>
      </w:r>
      <w:r>
        <w:t xml:space="preserve"> /m</w:t>
      </w:r>
      <w:r>
        <w:rPr>
          <w:vertAlign w:val="superscript"/>
        </w:rPr>
        <w:t>2</w:t>
      </w:r>
      <w:r>
        <w:t xml:space="preserve"> za byty a nebytové priestory</w:t>
      </w:r>
    </w:p>
    <w:p w:rsidR="00341679" w:rsidRDefault="00341679"/>
    <w:p w:rsidR="00341679" w:rsidRDefault="00341679">
      <w:pPr>
        <w:jc w:val="center"/>
      </w:pPr>
    </w:p>
    <w:p w:rsidR="00341679" w:rsidRDefault="00341679">
      <w:pPr>
        <w:jc w:val="center"/>
      </w:pPr>
    </w:p>
    <w:p w:rsidR="00341679" w:rsidRDefault="00341679">
      <w:pPr>
        <w:jc w:val="center"/>
        <w:rPr>
          <w:b/>
          <w:bCs/>
        </w:rPr>
      </w:pPr>
      <w:r>
        <w:rPr>
          <w:b/>
          <w:bCs/>
        </w:rPr>
        <w:t>Čl. IV</w:t>
      </w:r>
    </w:p>
    <w:p w:rsidR="00341679" w:rsidRDefault="00341679">
      <w:pPr>
        <w:jc w:val="center"/>
        <w:rPr>
          <w:b/>
          <w:bCs/>
        </w:rPr>
      </w:pPr>
      <w:r>
        <w:rPr>
          <w:b/>
          <w:bCs/>
        </w:rPr>
        <w:t xml:space="preserve">§ </w:t>
      </w:r>
      <w:r w:rsidR="000D720C">
        <w:rPr>
          <w:b/>
          <w:bCs/>
        </w:rPr>
        <w:t>7</w:t>
      </w:r>
    </w:p>
    <w:p w:rsidR="00341679" w:rsidRDefault="00341679">
      <w:pPr>
        <w:pStyle w:val="Nadpis1"/>
      </w:pPr>
      <w:r>
        <w:t>Oslobodenie od dane a zníženie dane</w:t>
      </w:r>
    </w:p>
    <w:p w:rsidR="00341679" w:rsidRDefault="00341679"/>
    <w:p w:rsidR="00341679" w:rsidRDefault="00341679">
      <w:pPr>
        <w:numPr>
          <w:ilvl w:val="0"/>
          <w:numId w:val="7"/>
        </w:numPr>
      </w:pPr>
      <w:r>
        <w:t>Správca dane poskytuje oslobodenie od dane z pozemkov (§17 ods. 2 zákona č. 582/2004 Z. z. o miestnych daniach a miestnom poplatku za komunálne odpady a drobné stavebné odpady) na:</w:t>
      </w:r>
    </w:p>
    <w:p w:rsidR="00CC121F" w:rsidRDefault="00CC121F">
      <w:pPr>
        <w:numPr>
          <w:ilvl w:val="1"/>
          <w:numId w:val="7"/>
        </w:numPr>
      </w:pPr>
      <w:r>
        <w:rPr>
          <w:sz w:val="23"/>
          <w:szCs w:val="23"/>
        </w:rPr>
        <w:t>pozemky, stavby, byty a nebytové priestory vo vlastníctve obce, ktorá je správcom dane, okrem prenajatých pozemkov na ktorých sa vykonáva hospodárska činnosť.</w:t>
      </w:r>
    </w:p>
    <w:p w:rsidR="00341679" w:rsidRDefault="00341679">
      <w:pPr>
        <w:numPr>
          <w:ilvl w:val="1"/>
          <w:numId w:val="7"/>
        </w:numPr>
      </w:pPr>
      <w:r>
        <w:t>pozemky, na ktorých sú cintoríny,  kolumbáriá, urnové háje</w:t>
      </w:r>
    </w:p>
    <w:p w:rsidR="00341679" w:rsidRDefault="00341679">
      <w:pPr>
        <w:numPr>
          <w:ilvl w:val="1"/>
          <w:numId w:val="7"/>
        </w:numPr>
      </w:pPr>
      <w:r>
        <w:t>pozemky funkčne spojené so stavbami slúžiacimi verejnej doprave</w:t>
      </w:r>
    </w:p>
    <w:p w:rsidR="00341679" w:rsidRDefault="00341679">
      <w:pPr>
        <w:numPr>
          <w:ilvl w:val="1"/>
          <w:numId w:val="7"/>
        </w:numPr>
      </w:pPr>
      <w:r>
        <w:t>lesné pozemky od nasledujúceho roka po vzniku holiny do roku plánovaného začatia výchovnej ťažby (prvej prebierky)</w:t>
      </w:r>
    </w:p>
    <w:p w:rsidR="00CC121F" w:rsidRDefault="00CC121F">
      <w:pPr>
        <w:numPr>
          <w:ilvl w:val="1"/>
          <w:numId w:val="7"/>
        </w:numPr>
      </w:pPr>
      <w:r>
        <w:rPr>
          <w:sz w:val="23"/>
          <w:szCs w:val="23"/>
        </w:rPr>
        <w:t>pozemky užívané školami a školskými zariadeniami</w:t>
      </w:r>
    </w:p>
    <w:p w:rsidR="00341679" w:rsidRDefault="00341679"/>
    <w:p w:rsidR="00341679" w:rsidRDefault="00341679">
      <w:pPr>
        <w:numPr>
          <w:ilvl w:val="0"/>
          <w:numId w:val="7"/>
        </w:numPr>
      </w:pPr>
      <w:r>
        <w:t>Správca dane poskytuje zníženie dane z pozemkov takto:</w:t>
      </w:r>
    </w:p>
    <w:p w:rsidR="00341679" w:rsidRDefault="00341679">
      <w:pPr>
        <w:numPr>
          <w:ilvl w:val="1"/>
          <w:numId w:val="7"/>
        </w:numPr>
      </w:pPr>
      <w:r>
        <w:lastRenderedPageBreak/>
        <w:t>25 % z daňovej povinnosti na pozemky, ktorých vlastníkmi sú občania starší ako 70 rokov, ak tieto pozemky slúžia výhradne  na ich osobnú potrebu.</w:t>
      </w:r>
    </w:p>
    <w:p w:rsidR="00341679" w:rsidRDefault="00341679"/>
    <w:p w:rsidR="00341679" w:rsidRDefault="00341679">
      <w:pPr>
        <w:numPr>
          <w:ilvl w:val="0"/>
          <w:numId w:val="7"/>
        </w:numPr>
      </w:pPr>
      <w:r>
        <w:t>Správca dane poskytuje zníženie z dane zo stavieb a bytov takto:</w:t>
      </w:r>
    </w:p>
    <w:p w:rsidR="00341679" w:rsidRDefault="00341679">
      <w:pPr>
        <w:numPr>
          <w:ilvl w:val="1"/>
          <w:numId w:val="7"/>
        </w:numPr>
      </w:pPr>
      <w:r>
        <w:t>25 % z daňovej povinnosti na stavby na bývanie a byty, ktoré sú vo vlastníctve občanov starších ako 70 rokov, alebo držiteľov preukazu občana s ťažkým zdravotným postihnutím alebo držiteľov preukazu občana s ťažkým zdravotným postihnutím s potrebou sprievodcu, ako aj prevažne alebo úplne bezvládnych občanov, ktoré slúžia na ich trvalé bývanie</w:t>
      </w:r>
    </w:p>
    <w:p w:rsidR="00341679" w:rsidRDefault="00341679">
      <w:pPr>
        <w:numPr>
          <w:ilvl w:val="1"/>
          <w:numId w:val="7"/>
        </w:numPr>
      </w:pPr>
      <w:r>
        <w:t>25 % z daňovej povinnosti na stavby garáží a nebytových priestorov v bytových domoch slúžiacich ako garáže vo vlastníctve občanov starších ako 70 rokov alebo držiteľov preukazu občana s ťažkým zdravotným postihnutím alebo držiteľov preukazu občana s ťažkým zdravotným postihnutím s potrebou sprievodcu, ktoré slúžia pre motorové vozidlo používané na ich dopravu.</w:t>
      </w:r>
    </w:p>
    <w:p w:rsidR="00341679" w:rsidRDefault="00341679"/>
    <w:p w:rsidR="00341679" w:rsidRDefault="00341679">
      <w:pPr>
        <w:jc w:val="center"/>
        <w:rPr>
          <w:b/>
          <w:bCs/>
        </w:rPr>
      </w:pPr>
      <w:r>
        <w:rPr>
          <w:b/>
          <w:bCs/>
        </w:rPr>
        <w:t>Čl. V</w:t>
      </w:r>
    </w:p>
    <w:p w:rsidR="00341679" w:rsidRDefault="000D720C">
      <w:pPr>
        <w:jc w:val="center"/>
        <w:rPr>
          <w:b/>
          <w:bCs/>
        </w:rPr>
      </w:pPr>
      <w:r>
        <w:rPr>
          <w:b/>
          <w:bCs/>
        </w:rPr>
        <w:t>§ 8</w:t>
      </w:r>
    </w:p>
    <w:p w:rsidR="00341679" w:rsidRDefault="00341679">
      <w:pPr>
        <w:spacing w:before="100" w:beforeAutospacing="1" w:after="100" w:afterAutospacing="1"/>
        <w:jc w:val="center"/>
        <w:outlineLvl w:val="1"/>
        <w:rPr>
          <w:b/>
          <w:bCs/>
          <w:color w:val="000000"/>
        </w:rPr>
      </w:pPr>
      <w:r>
        <w:rPr>
          <w:b/>
          <w:bCs/>
          <w:color w:val="000000"/>
        </w:rPr>
        <w:t>Vznik a zánik daňovej povinnosti</w:t>
      </w:r>
    </w:p>
    <w:p w:rsidR="00341679" w:rsidRDefault="00341679">
      <w:pPr>
        <w:numPr>
          <w:ilvl w:val="0"/>
          <w:numId w:val="19"/>
        </w:numPr>
        <w:spacing w:before="100" w:beforeAutospacing="1" w:after="100" w:afterAutospacing="1"/>
        <w:jc w:val="both"/>
      </w:pPr>
      <w:r>
        <w:t>Daňová povinnosť vzniká 1. januára zdaňovacieho obdobia nasledujúceho po zdaňovacom období, v ktorom daňovník nadobudol nehnuteľnosť do vlastníctva a zaniká 31. decembra zdaňovacieho obdobia, v ktorom daňovníkovi zanikne vlastníctvo k nehnuteľnosti. Ak sa daňovník stane vlastníkom nehnuteľnosti 1. januára bežného zdaňovacieho obdobia, vzniká daňová povinnosť týmto dňom.</w:t>
      </w:r>
    </w:p>
    <w:p w:rsidR="00341679" w:rsidRDefault="00341679">
      <w:pPr>
        <w:numPr>
          <w:ilvl w:val="0"/>
          <w:numId w:val="19"/>
        </w:numPr>
        <w:spacing w:before="100" w:beforeAutospacing="1" w:after="100" w:afterAutospacing="1"/>
        <w:jc w:val="both"/>
        <w:rPr>
          <w:color w:val="000000"/>
        </w:rPr>
      </w:pPr>
      <w:r>
        <w:rPr>
          <w:color w:val="000000"/>
        </w:rPr>
        <w:t>Pre vyrubenie dane z nehnuteľnosti je rozhodujúci stav k 1. januáru zdaňovacieho obdobia. Na zmeny skutočností rozhodujúcich pre daňovú povinnosť, ktoré nastanú v priebehu zdaňovacieho obdobia sa neprihliada.</w:t>
      </w:r>
    </w:p>
    <w:p w:rsidR="00341679" w:rsidRDefault="00341679">
      <w:pPr>
        <w:numPr>
          <w:ilvl w:val="0"/>
          <w:numId w:val="19"/>
        </w:numPr>
        <w:spacing w:before="100" w:beforeAutospacing="1" w:after="100" w:afterAutospacing="1"/>
        <w:jc w:val="both"/>
        <w:rPr>
          <w:color w:val="000000"/>
        </w:rPr>
      </w:pPr>
      <w:r>
        <w:rPr>
          <w:color w:val="000000"/>
        </w:rPr>
        <w:t>Fyzická alebo právnická osoba v priebehu príslušného zdaňovacieho obdobie je povinná oznámiť správcovi dane skutočnosti rozhodujúce pre vznik alebo zánik daňovej povinnosti k dani z nehnuteľnosti a každú zmenu týchto skutočností do 30 dní odo dňa, keď tieto skutočnosti alebo ich zmeny nastali.</w:t>
      </w:r>
    </w:p>
    <w:p w:rsidR="00341679" w:rsidRDefault="00341679">
      <w:pPr>
        <w:jc w:val="center"/>
        <w:rPr>
          <w:b/>
          <w:bCs/>
        </w:rPr>
      </w:pPr>
      <w:r>
        <w:rPr>
          <w:b/>
          <w:bCs/>
        </w:rPr>
        <w:t>Čl. VI</w:t>
      </w:r>
    </w:p>
    <w:p w:rsidR="00341679" w:rsidRDefault="000D720C">
      <w:pPr>
        <w:jc w:val="center"/>
        <w:rPr>
          <w:b/>
          <w:bCs/>
        </w:rPr>
      </w:pPr>
      <w:r>
        <w:rPr>
          <w:b/>
          <w:bCs/>
        </w:rPr>
        <w:t>§ 9</w:t>
      </w:r>
    </w:p>
    <w:p w:rsidR="00341679" w:rsidRDefault="00341679">
      <w:pPr>
        <w:pStyle w:val="Nadpis1"/>
      </w:pPr>
      <w:r>
        <w:t>Daňové priznanie</w:t>
      </w:r>
    </w:p>
    <w:p w:rsidR="00341679" w:rsidRDefault="00341679">
      <w:pPr>
        <w:numPr>
          <w:ilvl w:val="0"/>
          <w:numId w:val="18"/>
        </w:numPr>
        <w:spacing w:before="100" w:beforeAutospacing="1" w:after="100" w:afterAutospacing="1"/>
        <w:jc w:val="both"/>
        <w:rPr>
          <w:rFonts w:ascii="Arial" w:hAnsi="Arial" w:cs="Arial"/>
          <w:color w:val="000000"/>
        </w:rPr>
      </w:pPr>
      <w:r>
        <w:rPr>
          <w:color w:val="000000"/>
        </w:rPr>
        <w:t>Daňové priznanie k dani z nehnuteľností je daňovník povinný podať správcovi dane do 31. januára toho zdaňovacieho obdobia, v ktorom mu vznikla daňová povinnosť.</w:t>
      </w:r>
    </w:p>
    <w:p w:rsidR="00341679" w:rsidRDefault="00341679">
      <w:pPr>
        <w:numPr>
          <w:ilvl w:val="0"/>
          <w:numId w:val="18"/>
        </w:numPr>
        <w:spacing w:before="100" w:beforeAutospacing="1" w:after="100" w:afterAutospacing="1"/>
        <w:jc w:val="both"/>
        <w:rPr>
          <w:rFonts w:ascii="Arial" w:hAnsi="Arial" w:cs="Arial"/>
          <w:color w:val="000000"/>
        </w:rPr>
      </w:pPr>
      <w:r>
        <w:rPr>
          <w:color w:val="000000"/>
        </w:rPr>
        <w:t>Ak je pozemok, stavba, byt a nebytový priestor v bytovom dome v spoluvlastníctve viacerých osôb, priznanie podá každá FO alebo PO. Ak sa spoluvlastníci dohodnú, priznanie podá ten, koho dohodou určili spoluvlastníci, pričom túto skutočnosť musia písomne oznámiť správcovi dane pred uplynutím lehoty na podanie daňového  priznania.</w:t>
      </w:r>
    </w:p>
    <w:p w:rsidR="00341679" w:rsidRDefault="00341679">
      <w:pPr>
        <w:numPr>
          <w:ilvl w:val="0"/>
          <w:numId w:val="18"/>
        </w:numPr>
        <w:spacing w:before="100" w:beforeAutospacing="1" w:after="100" w:afterAutospacing="1"/>
        <w:jc w:val="both"/>
        <w:rPr>
          <w:rFonts w:ascii="Arial" w:hAnsi="Arial" w:cs="Arial"/>
          <w:color w:val="000000"/>
        </w:rPr>
      </w:pPr>
      <w:r>
        <w:rPr>
          <w:color w:val="000000"/>
        </w:rPr>
        <w:t>Daňovník je povinný v priznaní uviesť všetky skutočnosti rozhodujúce na výpočet dane a daň si sám vypočítať.</w:t>
      </w:r>
    </w:p>
    <w:p w:rsidR="00341679" w:rsidRDefault="00341679">
      <w:pPr>
        <w:numPr>
          <w:ilvl w:val="0"/>
          <w:numId w:val="18"/>
        </w:numPr>
        <w:spacing w:before="100" w:beforeAutospacing="1" w:after="100" w:afterAutospacing="1"/>
        <w:jc w:val="both"/>
        <w:rPr>
          <w:b/>
          <w:bCs/>
        </w:rPr>
      </w:pPr>
      <w:r>
        <w:rPr>
          <w:color w:val="000000"/>
        </w:rPr>
        <w:t xml:space="preserve">Daňovník, ak ide o fyzickú osobu, je povinný uviesť v priznaní aj meno, priezvisko, titul, adresu trvalého pobytu, rodné číslo a ak ide o právnickú osobu alebo o FO, ktorá je podnikateľom, je povinný uviesť aj obchodné meno alebo názov, IČO alebo miesto podnikania. Súčasne je daňovník povinný vyplniť všetky  údaje podľa daňového </w:t>
      </w:r>
      <w:r>
        <w:rPr>
          <w:color w:val="000000"/>
        </w:rPr>
        <w:lastRenderedPageBreak/>
        <w:t>priznania. Osobné údaje sú chránené podľa zák. č. 428/02 </w:t>
      </w:r>
      <w:proofErr w:type="spellStart"/>
      <w:r>
        <w:rPr>
          <w:color w:val="000000"/>
        </w:rPr>
        <w:t>Z.z</w:t>
      </w:r>
      <w:proofErr w:type="spellEnd"/>
      <w:r>
        <w:rPr>
          <w:color w:val="000000"/>
        </w:rPr>
        <w:t>. v znení zák. č. 602/03 Z .z.</w:t>
      </w:r>
    </w:p>
    <w:p w:rsidR="00341679" w:rsidRDefault="00341679">
      <w:pPr>
        <w:rPr>
          <w:b/>
          <w:bCs/>
        </w:rPr>
      </w:pPr>
    </w:p>
    <w:p w:rsidR="00341679" w:rsidRDefault="00341679">
      <w:pPr>
        <w:jc w:val="center"/>
        <w:rPr>
          <w:b/>
          <w:bCs/>
        </w:rPr>
      </w:pPr>
      <w:r>
        <w:rPr>
          <w:b/>
          <w:bCs/>
        </w:rPr>
        <w:t>Čl. VII</w:t>
      </w:r>
    </w:p>
    <w:p w:rsidR="00341679" w:rsidRDefault="000D720C">
      <w:pPr>
        <w:jc w:val="center"/>
        <w:rPr>
          <w:b/>
          <w:bCs/>
        </w:rPr>
      </w:pPr>
      <w:r>
        <w:rPr>
          <w:b/>
          <w:bCs/>
        </w:rPr>
        <w:t>§10</w:t>
      </w:r>
    </w:p>
    <w:p w:rsidR="00341679" w:rsidRDefault="00341679">
      <w:pPr>
        <w:pStyle w:val="Nadpis1"/>
      </w:pPr>
      <w:r>
        <w:t>Platenie dane</w:t>
      </w:r>
    </w:p>
    <w:p w:rsidR="00341679" w:rsidRDefault="00341679"/>
    <w:p w:rsidR="00341679" w:rsidRDefault="00341679">
      <w:pPr>
        <w:numPr>
          <w:ilvl w:val="0"/>
          <w:numId w:val="8"/>
        </w:numPr>
      </w:pPr>
      <w:r>
        <w:t xml:space="preserve">Správca dane určuje platenie vyrubenej dane nasledovne: </w:t>
      </w:r>
    </w:p>
    <w:p w:rsidR="00341679" w:rsidRDefault="00341679">
      <w:pPr>
        <w:pStyle w:val="Obyajntext1"/>
        <w:numPr>
          <w:ilvl w:val="0"/>
          <w:numId w:val="12"/>
        </w:numPr>
        <w:jc w:val="both"/>
        <w:rPr>
          <w:rFonts w:ascii="Times New Roman" w:hAnsi="Times New Roman" w:cs="Times New Roman"/>
          <w:sz w:val="24"/>
          <w:szCs w:val="24"/>
        </w:rPr>
      </w:pPr>
      <w:r>
        <w:rPr>
          <w:rFonts w:ascii="Times New Roman" w:hAnsi="Times New Roman" w:cs="Times New Roman"/>
          <w:sz w:val="24"/>
          <w:szCs w:val="24"/>
        </w:rPr>
        <w:t>ak  ročná daň vyrubená  fyzickej osobe nepresahuje  12 € a právnickej  osobe  100 €  je  splatná  do 15 dní odo dňa  nadobudnutia právoplatnosti platobného výmeru.</w:t>
      </w:r>
    </w:p>
    <w:p w:rsidR="00341679" w:rsidRDefault="00341679">
      <w:pPr>
        <w:pStyle w:val="Obyajntext1"/>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ak je daň vyššia ako v bode a) je daň splatná </w:t>
      </w:r>
      <w:proofErr w:type="spellStart"/>
      <w:r>
        <w:rPr>
          <w:rFonts w:ascii="Times New Roman" w:hAnsi="Times New Roman" w:cs="Times New Roman"/>
          <w:sz w:val="24"/>
          <w:szCs w:val="24"/>
        </w:rPr>
        <w:t>jednorázovo</w:t>
      </w:r>
      <w:proofErr w:type="spellEnd"/>
      <w:r>
        <w:rPr>
          <w:rFonts w:ascii="Times New Roman" w:hAnsi="Times New Roman" w:cs="Times New Roman"/>
          <w:sz w:val="24"/>
          <w:szCs w:val="24"/>
        </w:rPr>
        <w:t>, alebo v troch splátkach a to prvá splátka je splatná do 15 dní odo dňa nadobudnutia právoplatnosti platobného výmeru, ďalšie dve splátky sú  splatné v termínoch do 31. 7. a 30. 9. príslušného kalendárneho roka.</w:t>
      </w:r>
    </w:p>
    <w:p w:rsidR="00341679" w:rsidRDefault="00341679">
      <w:pPr>
        <w:pStyle w:val="Obyajntext1"/>
        <w:numPr>
          <w:ilvl w:val="0"/>
          <w:numId w:val="12"/>
        </w:numPr>
        <w:jc w:val="both"/>
        <w:rPr>
          <w:rFonts w:ascii="Times New Roman" w:hAnsi="Times New Roman" w:cs="Times New Roman"/>
          <w:sz w:val="24"/>
          <w:szCs w:val="24"/>
        </w:rPr>
      </w:pPr>
      <w:r>
        <w:rPr>
          <w:rFonts w:ascii="Times New Roman" w:hAnsi="Times New Roman" w:cs="Times New Roman"/>
          <w:sz w:val="24"/>
          <w:szCs w:val="24"/>
        </w:rPr>
        <w:t>daň z nehnuteľností sa platí prevodom z účtu v peňažnom ústave, alebo vkladom v hotovosti na účet správcu dane v peňažnom ústave,  do pokladne obecného úradu.</w:t>
      </w:r>
    </w:p>
    <w:p w:rsidR="00341679" w:rsidRDefault="00341679"/>
    <w:p w:rsidR="00341679" w:rsidRDefault="00341679">
      <w:pPr>
        <w:jc w:val="center"/>
        <w:rPr>
          <w:b/>
          <w:bCs/>
        </w:rPr>
      </w:pPr>
      <w:r>
        <w:rPr>
          <w:b/>
          <w:bCs/>
        </w:rPr>
        <w:t>Čl. VIII</w:t>
      </w:r>
    </w:p>
    <w:p w:rsidR="00341679" w:rsidRDefault="000D720C">
      <w:pPr>
        <w:jc w:val="center"/>
        <w:rPr>
          <w:b/>
          <w:bCs/>
        </w:rPr>
      </w:pPr>
      <w:r>
        <w:rPr>
          <w:b/>
          <w:bCs/>
        </w:rPr>
        <w:t>§ 11</w:t>
      </w:r>
    </w:p>
    <w:p w:rsidR="00341679" w:rsidRDefault="00341679">
      <w:pPr>
        <w:pStyle w:val="Nadpis1"/>
      </w:pPr>
      <w:r>
        <w:t>Záverečné ustanovenia</w:t>
      </w:r>
    </w:p>
    <w:p w:rsidR="00341679" w:rsidRDefault="00341679"/>
    <w:p w:rsidR="00341679" w:rsidRDefault="00341679">
      <w:pPr>
        <w:numPr>
          <w:ilvl w:val="0"/>
          <w:numId w:val="9"/>
        </w:numPr>
      </w:pPr>
      <w:r>
        <w:t>Pri uplatnení tohto všeobecne záväzného nariadenia platia ustanovenia zákona č. 582/2004 Z. z. o miestnych daniach a miestnom poplatku za komunálne odpady a drobné stavebné odpady v znení neskorších zmien a doplnkov a zákona č. 511/1992 Zb. o správe daní a poplatkov v znení neskorších zmien  doplnkov.</w:t>
      </w:r>
    </w:p>
    <w:p w:rsidR="000D720C" w:rsidRDefault="00341679" w:rsidP="000D720C">
      <w:pPr>
        <w:numPr>
          <w:ilvl w:val="0"/>
          <w:numId w:val="9"/>
        </w:numPr>
      </w:pPr>
      <w:r w:rsidRPr="000D720C">
        <w:rPr>
          <w:b/>
        </w:rPr>
        <w:t>Týmto VZN sa ruší :</w:t>
      </w:r>
      <w:r w:rsidR="000D720C" w:rsidRPr="000D720C">
        <w:t xml:space="preserve"> </w:t>
      </w:r>
      <w:r w:rsidR="000D720C">
        <w:t xml:space="preserve">VZN  č. 2/2011 o dani z nehnuteľností, ktoré bolo účinné od 1.1.2012 a Dodatok č.1 k VZN č.2/2011 o dani z nehnuteľností, </w:t>
      </w:r>
      <w:proofErr w:type="spellStart"/>
      <w:r w:rsidR="000D720C">
        <w:t>ktorébolo</w:t>
      </w:r>
      <w:proofErr w:type="spellEnd"/>
      <w:r w:rsidR="000D720C">
        <w:t xml:space="preserve"> účinné od 23.12.2013.</w:t>
      </w:r>
    </w:p>
    <w:p w:rsidR="00341679" w:rsidRDefault="00341679">
      <w:pPr>
        <w:numPr>
          <w:ilvl w:val="0"/>
          <w:numId w:val="9"/>
        </w:numPr>
      </w:pPr>
      <w:r>
        <w:t xml:space="preserve">Návrh  všeobecne záväzného nariadenia bol vyvesený na tabuli OU dňa </w:t>
      </w:r>
      <w:r w:rsidR="00831E5E">
        <w:t>2</w:t>
      </w:r>
      <w:r>
        <w:t>0.11.201</w:t>
      </w:r>
      <w:r w:rsidR="00831E5E">
        <w:t>5 a zvesený dňa 8.12.2015</w:t>
      </w:r>
      <w:r>
        <w:t>.</w:t>
      </w:r>
    </w:p>
    <w:p w:rsidR="00341679" w:rsidRDefault="00831E5E">
      <w:pPr>
        <w:numPr>
          <w:ilvl w:val="0"/>
          <w:numId w:val="9"/>
        </w:numPr>
      </w:pPr>
      <w:r>
        <w:t>Toto</w:t>
      </w:r>
      <w:r w:rsidR="00341679">
        <w:t xml:space="preserve">  všeobecne záväzné nariadeni</w:t>
      </w:r>
      <w:r>
        <w:t>e</w:t>
      </w:r>
      <w:r w:rsidR="00341679">
        <w:t xml:space="preserve">  bol</w:t>
      </w:r>
      <w:r>
        <w:t>o</w:t>
      </w:r>
      <w:r w:rsidR="00341679">
        <w:t xml:space="preserve"> schválen</w:t>
      </w:r>
      <w:r>
        <w:t>é</w:t>
      </w:r>
      <w:r w:rsidR="00341679">
        <w:t xml:space="preserve"> uznesením Obecného zastupiteľstva v Iliji  č. </w:t>
      </w:r>
      <w:r>
        <w:t>4</w:t>
      </w:r>
      <w:r w:rsidR="00341679">
        <w:t>-12/201</w:t>
      </w:r>
      <w:r>
        <w:t>5 zo dňa 8</w:t>
      </w:r>
      <w:r w:rsidR="00341679">
        <w:t>.12.201</w:t>
      </w:r>
      <w:r>
        <w:t xml:space="preserve">5. a vyvesené na úradnej </w:t>
      </w:r>
      <w:r w:rsidR="00341679">
        <w:t>tabuli OU</w:t>
      </w:r>
      <w:r>
        <w:t xml:space="preserve"> dňa 1</w:t>
      </w:r>
      <w:r w:rsidR="00644DC7">
        <w:t>4</w:t>
      </w:r>
      <w:r>
        <w:t>.12.2015</w:t>
      </w:r>
      <w:r w:rsidR="00341679">
        <w:t xml:space="preserve"> .</w:t>
      </w:r>
    </w:p>
    <w:p w:rsidR="00341679" w:rsidRDefault="00341679">
      <w:pPr>
        <w:numPr>
          <w:ilvl w:val="0"/>
          <w:numId w:val="9"/>
        </w:numPr>
      </w:pPr>
      <w:r>
        <w:t>Toto všeobecne záväzné nariadenie nadobúda účinnosť od  dňa 1.1.201</w:t>
      </w:r>
      <w:r w:rsidR="00644DC7">
        <w:t>6</w:t>
      </w:r>
      <w:r>
        <w:t xml:space="preserve">.    </w:t>
      </w:r>
    </w:p>
    <w:p w:rsidR="00341679" w:rsidRDefault="00341679"/>
    <w:p w:rsidR="00341679" w:rsidRDefault="00341679"/>
    <w:p w:rsidR="00341679" w:rsidRDefault="00341679"/>
    <w:p w:rsidR="00341679" w:rsidRDefault="00341679"/>
    <w:p w:rsidR="00341679" w:rsidRDefault="00341679">
      <w:pPr>
        <w:ind w:left="5664"/>
      </w:pPr>
      <w:r>
        <w:t xml:space="preserve">Milan </w:t>
      </w:r>
      <w:proofErr w:type="spellStart"/>
      <w:r>
        <w:t>Jokel</w:t>
      </w:r>
      <w:proofErr w:type="spellEnd"/>
    </w:p>
    <w:p w:rsidR="00341679" w:rsidRDefault="00341679">
      <w:r>
        <w:t xml:space="preserve">                                                                                              starosta obce</w:t>
      </w:r>
    </w:p>
    <w:p w:rsidR="00341679" w:rsidRDefault="00341679"/>
    <w:p w:rsidR="00341679" w:rsidRDefault="00341679"/>
    <w:p w:rsidR="00341679" w:rsidRDefault="00341679"/>
    <w:p w:rsidR="00341679" w:rsidRDefault="00341679"/>
    <w:p w:rsidR="00341679" w:rsidRDefault="00341679"/>
    <w:p w:rsidR="00341679" w:rsidRDefault="00341679"/>
    <w:p w:rsidR="00341679" w:rsidRDefault="00341679">
      <w:pPr>
        <w:rPr>
          <w:snapToGrid w:val="0"/>
          <w:color w:val="000000"/>
        </w:rPr>
      </w:pPr>
    </w:p>
    <w:p w:rsidR="00341679" w:rsidRDefault="00341679"/>
    <w:p w:rsidR="00341679" w:rsidRDefault="00341679"/>
    <w:p w:rsidR="00341679" w:rsidRDefault="00341679"/>
    <w:p w:rsidR="00341679" w:rsidRDefault="00341679"/>
    <w:p w:rsidR="00341679" w:rsidRDefault="00341679"/>
    <w:p w:rsidR="00341679" w:rsidRDefault="00341679"/>
    <w:p w:rsidR="00341679" w:rsidRDefault="00341679"/>
    <w:sectPr w:rsidR="00341679" w:rsidSect="00341679">
      <w:footerReference w:type="default" r:id="rId7"/>
      <w:pgSz w:w="11906" w:h="16838"/>
      <w:pgMar w:top="1418" w:right="1418" w:bottom="1418" w:left="1418"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0D7" w:rsidRDefault="003020D7">
      <w:r>
        <w:separator/>
      </w:r>
    </w:p>
  </w:endnote>
  <w:endnote w:type="continuationSeparator" w:id="0">
    <w:p w:rsidR="003020D7" w:rsidRDefault="0030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679" w:rsidRDefault="00341679">
    <w:pPr>
      <w:pStyle w:val="Pta"/>
      <w:framePr w:wrap="auto"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881677">
      <w:rPr>
        <w:rStyle w:val="slostrany"/>
        <w:noProof/>
      </w:rPr>
      <w:t>2</w:t>
    </w:r>
    <w:r>
      <w:rPr>
        <w:rStyle w:val="slostrany"/>
      </w:rPr>
      <w:fldChar w:fldCharType="end"/>
    </w:r>
  </w:p>
  <w:p w:rsidR="00341679" w:rsidRDefault="0034167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0D7" w:rsidRDefault="003020D7">
      <w:r>
        <w:separator/>
      </w:r>
    </w:p>
  </w:footnote>
  <w:footnote w:type="continuationSeparator" w:id="0">
    <w:p w:rsidR="003020D7" w:rsidRDefault="003020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2EB8"/>
    <w:multiLevelType w:val="multilevel"/>
    <w:tmpl w:val="2E48E79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 w15:restartNumberingAfterBreak="0">
    <w:nsid w:val="07BB4F62"/>
    <w:multiLevelType w:val="hybridMultilevel"/>
    <w:tmpl w:val="332ED2A0"/>
    <w:lvl w:ilvl="0" w:tplc="041B000F">
      <w:start w:val="1"/>
      <w:numFmt w:val="decimal"/>
      <w:lvlText w:val="%1."/>
      <w:lvlJc w:val="left"/>
      <w:pPr>
        <w:tabs>
          <w:tab w:val="num" w:pos="360"/>
        </w:tabs>
        <w:ind w:left="360" w:hanging="360"/>
      </w:pPr>
      <w:rPr>
        <w:rFonts w:ascii="Times New Roman" w:hAnsi="Times New Roman" w:cs="Times New Roman"/>
      </w:rPr>
    </w:lvl>
    <w:lvl w:ilvl="1" w:tplc="041B0019">
      <w:start w:val="1"/>
      <w:numFmt w:val="lowerLetter"/>
      <w:lvlText w:val="%2."/>
      <w:lvlJc w:val="left"/>
      <w:pPr>
        <w:tabs>
          <w:tab w:val="num" w:pos="1080"/>
        </w:tabs>
        <w:ind w:left="1080" w:hanging="360"/>
      </w:pPr>
      <w:rPr>
        <w:rFonts w:ascii="Times New Roman" w:hAnsi="Times New Roman" w:cs="Times New Roman"/>
      </w:rPr>
    </w:lvl>
    <w:lvl w:ilvl="2" w:tplc="041B001B">
      <w:start w:val="1"/>
      <w:numFmt w:val="lowerRoman"/>
      <w:lvlText w:val="%3."/>
      <w:lvlJc w:val="right"/>
      <w:pPr>
        <w:tabs>
          <w:tab w:val="num" w:pos="1800"/>
        </w:tabs>
        <w:ind w:left="1800" w:hanging="180"/>
      </w:pPr>
      <w:rPr>
        <w:rFonts w:ascii="Times New Roman" w:hAnsi="Times New Roman" w:cs="Times New Roman"/>
      </w:rPr>
    </w:lvl>
    <w:lvl w:ilvl="3" w:tplc="041B000F">
      <w:start w:val="1"/>
      <w:numFmt w:val="decimal"/>
      <w:lvlText w:val="%4."/>
      <w:lvlJc w:val="left"/>
      <w:pPr>
        <w:tabs>
          <w:tab w:val="num" w:pos="2520"/>
        </w:tabs>
        <w:ind w:left="2520" w:hanging="360"/>
      </w:pPr>
      <w:rPr>
        <w:rFonts w:ascii="Times New Roman" w:hAnsi="Times New Roman" w:cs="Times New Roman"/>
      </w:rPr>
    </w:lvl>
    <w:lvl w:ilvl="4" w:tplc="041B0019">
      <w:start w:val="1"/>
      <w:numFmt w:val="lowerLetter"/>
      <w:lvlText w:val="%5."/>
      <w:lvlJc w:val="left"/>
      <w:pPr>
        <w:tabs>
          <w:tab w:val="num" w:pos="3240"/>
        </w:tabs>
        <w:ind w:left="3240" w:hanging="360"/>
      </w:pPr>
      <w:rPr>
        <w:rFonts w:ascii="Times New Roman" w:hAnsi="Times New Roman" w:cs="Times New Roman"/>
      </w:rPr>
    </w:lvl>
    <w:lvl w:ilvl="5" w:tplc="041B001B">
      <w:start w:val="1"/>
      <w:numFmt w:val="lowerRoman"/>
      <w:lvlText w:val="%6."/>
      <w:lvlJc w:val="right"/>
      <w:pPr>
        <w:tabs>
          <w:tab w:val="num" w:pos="3960"/>
        </w:tabs>
        <w:ind w:left="3960" w:hanging="180"/>
      </w:pPr>
      <w:rPr>
        <w:rFonts w:ascii="Times New Roman" w:hAnsi="Times New Roman" w:cs="Times New Roman"/>
      </w:rPr>
    </w:lvl>
    <w:lvl w:ilvl="6" w:tplc="041B000F">
      <w:start w:val="1"/>
      <w:numFmt w:val="decimal"/>
      <w:lvlText w:val="%7."/>
      <w:lvlJc w:val="left"/>
      <w:pPr>
        <w:tabs>
          <w:tab w:val="num" w:pos="4680"/>
        </w:tabs>
        <w:ind w:left="4680" w:hanging="360"/>
      </w:pPr>
      <w:rPr>
        <w:rFonts w:ascii="Times New Roman" w:hAnsi="Times New Roman" w:cs="Times New Roman"/>
      </w:rPr>
    </w:lvl>
    <w:lvl w:ilvl="7" w:tplc="041B0019">
      <w:start w:val="1"/>
      <w:numFmt w:val="lowerLetter"/>
      <w:lvlText w:val="%8."/>
      <w:lvlJc w:val="left"/>
      <w:pPr>
        <w:tabs>
          <w:tab w:val="num" w:pos="5400"/>
        </w:tabs>
        <w:ind w:left="5400" w:hanging="360"/>
      </w:pPr>
      <w:rPr>
        <w:rFonts w:ascii="Times New Roman" w:hAnsi="Times New Roman" w:cs="Times New Roman"/>
      </w:rPr>
    </w:lvl>
    <w:lvl w:ilvl="8" w:tplc="041B001B">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0AB02398"/>
    <w:multiLevelType w:val="hybridMultilevel"/>
    <w:tmpl w:val="48D215F4"/>
    <w:lvl w:ilvl="0" w:tplc="1D06BA84">
      <w:start w:val="1"/>
      <w:numFmt w:val="lowerLetter"/>
      <w:lvlText w:val="%1)"/>
      <w:lvlJc w:val="left"/>
      <w:pPr>
        <w:tabs>
          <w:tab w:val="num" w:pos="927"/>
        </w:tabs>
        <w:ind w:left="927" w:hanging="567"/>
      </w:pPr>
      <w:rPr>
        <w:rFonts w:ascii="Times New Roman" w:hAnsi="Times New Roman" w:cs="Times New Roman" w:hint="default"/>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DFC3A18"/>
    <w:multiLevelType w:val="hybridMultilevel"/>
    <w:tmpl w:val="543288D2"/>
    <w:lvl w:ilvl="0" w:tplc="041B000F">
      <w:start w:val="1"/>
      <w:numFmt w:val="decimal"/>
      <w:lvlText w:val="%1."/>
      <w:lvlJc w:val="left"/>
      <w:pPr>
        <w:tabs>
          <w:tab w:val="num" w:pos="720"/>
        </w:tabs>
        <w:ind w:left="720" w:hanging="360"/>
      </w:pPr>
      <w:rPr>
        <w:rFonts w:ascii="Times New Roman" w:hAnsi="Times New Roman" w:cs="Times New Roman"/>
      </w:rPr>
    </w:lvl>
    <w:lvl w:ilvl="1" w:tplc="041B0019">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4" w15:restartNumberingAfterBreak="0">
    <w:nsid w:val="18AA7701"/>
    <w:multiLevelType w:val="hybridMultilevel"/>
    <w:tmpl w:val="49C69DEA"/>
    <w:lvl w:ilvl="0" w:tplc="041B000F">
      <w:start w:val="1"/>
      <w:numFmt w:val="decimal"/>
      <w:lvlText w:val="%1."/>
      <w:lvlJc w:val="left"/>
      <w:pPr>
        <w:tabs>
          <w:tab w:val="num" w:pos="360"/>
        </w:tabs>
        <w:ind w:left="360" w:hanging="360"/>
      </w:pPr>
      <w:rPr>
        <w:rFonts w:ascii="Times New Roman" w:hAnsi="Times New Roman" w:cs="Times New Roman" w:hint="default"/>
      </w:rPr>
    </w:lvl>
    <w:lvl w:ilvl="1" w:tplc="ABC060FC">
      <w:start w:val="1"/>
      <w:numFmt w:val="lowerLetter"/>
      <w:lvlText w:val="%2)"/>
      <w:lvlJc w:val="left"/>
      <w:pPr>
        <w:tabs>
          <w:tab w:val="num" w:pos="1287"/>
        </w:tabs>
        <w:ind w:left="1287" w:hanging="567"/>
      </w:pPr>
      <w:rPr>
        <w:rFonts w:ascii="Times New Roman" w:hAnsi="Times New Roman" w:cs="Times New Roman" w:hint="default"/>
      </w:rPr>
    </w:lvl>
    <w:lvl w:ilvl="2" w:tplc="041B001B">
      <w:start w:val="1"/>
      <w:numFmt w:val="lowerRoman"/>
      <w:lvlText w:val="%3."/>
      <w:lvlJc w:val="right"/>
      <w:pPr>
        <w:tabs>
          <w:tab w:val="num" w:pos="1800"/>
        </w:tabs>
        <w:ind w:left="1800" w:hanging="180"/>
      </w:pPr>
      <w:rPr>
        <w:rFonts w:ascii="Times New Roman" w:hAnsi="Times New Roman" w:cs="Times New Roman"/>
      </w:rPr>
    </w:lvl>
    <w:lvl w:ilvl="3" w:tplc="041B000F">
      <w:start w:val="1"/>
      <w:numFmt w:val="decimal"/>
      <w:lvlText w:val="%4."/>
      <w:lvlJc w:val="left"/>
      <w:pPr>
        <w:tabs>
          <w:tab w:val="num" w:pos="2520"/>
        </w:tabs>
        <w:ind w:left="2520" w:hanging="360"/>
      </w:pPr>
      <w:rPr>
        <w:rFonts w:ascii="Times New Roman" w:hAnsi="Times New Roman" w:cs="Times New Roman"/>
      </w:rPr>
    </w:lvl>
    <w:lvl w:ilvl="4" w:tplc="041B0019">
      <w:start w:val="1"/>
      <w:numFmt w:val="lowerLetter"/>
      <w:lvlText w:val="%5."/>
      <w:lvlJc w:val="left"/>
      <w:pPr>
        <w:tabs>
          <w:tab w:val="num" w:pos="3240"/>
        </w:tabs>
        <w:ind w:left="3240" w:hanging="360"/>
      </w:pPr>
      <w:rPr>
        <w:rFonts w:ascii="Times New Roman" w:hAnsi="Times New Roman" w:cs="Times New Roman"/>
      </w:rPr>
    </w:lvl>
    <w:lvl w:ilvl="5" w:tplc="041B001B">
      <w:start w:val="1"/>
      <w:numFmt w:val="lowerRoman"/>
      <w:lvlText w:val="%6."/>
      <w:lvlJc w:val="right"/>
      <w:pPr>
        <w:tabs>
          <w:tab w:val="num" w:pos="3960"/>
        </w:tabs>
        <w:ind w:left="3960" w:hanging="180"/>
      </w:pPr>
      <w:rPr>
        <w:rFonts w:ascii="Times New Roman" w:hAnsi="Times New Roman" w:cs="Times New Roman"/>
      </w:rPr>
    </w:lvl>
    <w:lvl w:ilvl="6" w:tplc="041B000F">
      <w:start w:val="1"/>
      <w:numFmt w:val="decimal"/>
      <w:lvlText w:val="%7."/>
      <w:lvlJc w:val="left"/>
      <w:pPr>
        <w:tabs>
          <w:tab w:val="num" w:pos="4680"/>
        </w:tabs>
        <w:ind w:left="4680" w:hanging="360"/>
      </w:pPr>
      <w:rPr>
        <w:rFonts w:ascii="Times New Roman" w:hAnsi="Times New Roman" w:cs="Times New Roman"/>
      </w:rPr>
    </w:lvl>
    <w:lvl w:ilvl="7" w:tplc="041B0019">
      <w:start w:val="1"/>
      <w:numFmt w:val="lowerLetter"/>
      <w:lvlText w:val="%8."/>
      <w:lvlJc w:val="left"/>
      <w:pPr>
        <w:tabs>
          <w:tab w:val="num" w:pos="5400"/>
        </w:tabs>
        <w:ind w:left="5400" w:hanging="360"/>
      </w:pPr>
      <w:rPr>
        <w:rFonts w:ascii="Times New Roman" w:hAnsi="Times New Roman" w:cs="Times New Roman"/>
      </w:rPr>
    </w:lvl>
    <w:lvl w:ilvl="8" w:tplc="041B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1DA03348"/>
    <w:multiLevelType w:val="multilevel"/>
    <w:tmpl w:val="427885C8"/>
    <w:lvl w:ilvl="0">
      <w:start w:val="3"/>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6" w15:restartNumberingAfterBreak="0">
    <w:nsid w:val="29584659"/>
    <w:multiLevelType w:val="hybridMultilevel"/>
    <w:tmpl w:val="11FE793C"/>
    <w:lvl w:ilvl="0" w:tplc="041B000F">
      <w:start w:val="1"/>
      <w:numFmt w:val="decimal"/>
      <w:lvlText w:val="%1."/>
      <w:lvlJc w:val="left"/>
      <w:pPr>
        <w:tabs>
          <w:tab w:val="num" w:pos="360"/>
        </w:tabs>
        <w:ind w:left="360" w:hanging="360"/>
      </w:pPr>
      <w:rPr>
        <w:rFonts w:ascii="Times New Roman" w:hAnsi="Times New Roman" w:cs="Times New Roman"/>
      </w:rPr>
    </w:lvl>
    <w:lvl w:ilvl="1" w:tplc="041B0019">
      <w:start w:val="1"/>
      <w:numFmt w:val="lowerLetter"/>
      <w:lvlText w:val="%2."/>
      <w:lvlJc w:val="left"/>
      <w:pPr>
        <w:tabs>
          <w:tab w:val="num" w:pos="1080"/>
        </w:tabs>
        <w:ind w:left="1080" w:hanging="360"/>
      </w:pPr>
      <w:rPr>
        <w:rFonts w:ascii="Times New Roman" w:hAnsi="Times New Roman" w:cs="Times New Roman"/>
      </w:rPr>
    </w:lvl>
    <w:lvl w:ilvl="2" w:tplc="041B001B">
      <w:start w:val="1"/>
      <w:numFmt w:val="lowerRoman"/>
      <w:lvlText w:val="%3."/>
      <w:lvlJc w:val="right"/>
      <w:pPr>
        <w:tabs>
          <w:tab w:val="num" w:pos="1800"/>
        </w:tabs>
        <w:ind w:left="1800" w:hanging="180"/>
      </w:pPr>
      <w:rPr>
        <w:rFonts w:ascii="Times New Roman" w:hAnsi="Times New Roman" w:cs="Times New Roman"/>
      </w:rPr>
    </w:lvl>
    <w:lvl w:ilvl="3" w:tplc="041B000F">
      <w:start w:val="1"/>
      <w:numFmt w:val="decimal"/>
      <w:lvlText w:val="%4."/>
      <w:lvlJc w:val="left"/>
      <w:pPr>
        <w:tabs>
          <w:tab w:val="num" w:pos="2520"/>
        </w:tabs>
        <w:ind w:left="2520" w:hanging="360"/>
      </w:pPr>
      <w:rPr>
        <w:rFonts w:ascii="Times New Roman" w:hAnsi="Times New Roman" w:cs="Times New Roman"/>
      </w:rPr>
    </w:lvl>
    <w:lvl w:ilvl="4" w:tplc="041B0019">
      <w:start w:val="1"/>
      <w:numFmt w:val="lowerLetter"/>
      <w:lvlText w:val="%5."/>
      <w:lvlJc w:val="left"/>
      <w:pPr>
        <w:tabs>
          <w:tab w:val="num" w:pos="3240"/>
        </w:tabs>
        <w:ind w:left="3240" w:hanging="360"/>
      </w:pPr>
      <w:rPr>
        <w:rFonts w:ascii="Times New Roman" w:hAnsi="Times New Roman" w:cs="Times New Roman"/>
      </w:rPr>
    </w:lvl>
    <w:lvl w:ilvl="5" w:tplc="041B001B">
      <w:start w:val="1"/>
      <w:numFmt w:val="lowerRoman"/>
      <w:lvlText w:val="%6."/>
      <w:lvlJc w:val="right"/>
      <w:pPr>
        <w:tabs>
          <w:tab w:val="num" w:pos="3960"/>
        </w:tabs>
        <w:ind w:left="3960" w:hanging="180"/>
      </w:pPr>
      <w:rPr>
        <w:rFonts w:ascii="Times New Roman" w:hAnsi="Times New Roman" w:cs="Times New Roman"/>
      </w:rPr>
    </w:lvl>
    <w:lvl w:ilvl="6" w:tplc="041B000F">
      <w:start w:val="1"/>
      <w:numFmt w:val="decimal"/>
      <w:lvlText w:val="%7."/>
      <w:lvlJc w:val="left"/>
      <w:pPr>
        <w:tabs>
          <w:tab w:val="num" w:pos="4680"/>
        </w:tabs>
        <w:ind w:left="4680" w:hanging="360"/>
      </w:pPr>
      <w:rPr>
        <w:rFonts w:ascii="Times New Roman" w:hAnsi="Times New Roman" w:cs="Times New Roman"/>
      </w:rPr>
    </w:lvl>
    <w:lvl w:ilvl="7" w:tplc="041B0019">
      <w:start w:val="1"/>
      <w:numFmt w:val="lowerLetter"/>
      <w:lvlText w:val="%8."/>
      <w:lvlJc w:val="left"/>
      <w:pPr>
        <w:tabs>
          <w:tab w:val="num" w:pos="5400"/>
        </w:tabs>
        <w:ind w:left="5400" w:hanging="360"/>
      </w:pPr>
      <w:rPr>
        <w:rFonts w:ascii="Times New Roman" w:hAnsi="Times New Roman" w:cs="Times New Roman"/>
      </w:rPr>
    </w:lvl>
    <w:lvl w:ilvl="8" w:tplc="041B001B">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2F69080D"/>
    <w:multiLevelType w:val="hybridMultilevel"/>
    <w:tmpl w:val="0E10E602"/>
    <w:lvl w:ilvl="0" w:tplc="041B000F">
      <w:start w:val="1"/>
      <w:numFmt w:val="decimal"/>
      <w:lvlText w:val="%1."/>
      <w:lvlJc w:val="left"/>
      <w:pPr>
        <w:tabs>
          <w:tab w:val="num" w:pos="360"/>
        </w:tabs>
        <w:ind w:left="360" w:hanging="360"/>
      </w:pPr>
      <w:rPr>
        <w:rFonts w:ascii="Times New Roman" w:hAnsi="Times New Roman" w:cs="Times New Roman"/>
      </w:rPr>
    </w:lvl>
    <w:lvl w:ilvl="1" w:tplc="96967E8A">
      <w:start w:val="1"/>
      <w:numFmt w:val="lowerLetter"/>
      <w:lvlText w:val="%2)"/>
      <w:lvlJc w:val="left"/>
      <w:pPr>
        <w:tabs>
          <w:tab w:val="num" w:pos="1080"/>
        </w:tabs>
        <w:ind w:left="1080" w:hanging="360"/>
      </w:pPr>
      <w:rPr>
        <w:rFonts w:ascii="Times New Roman" w:hAnsi="Times New Roman" w:cs="Times New Roman" w:hint="default"/>
      </w:rPr>
    </w:lvl>
    <w:lvl w:ilvl="2" w:tplc="1D06BA84">
      <w:start w:val="1"/>
      <w:numFmt w:val="lowerLetter"/>
      <w:lvlText w:val="%3)"/>
      <w:lvlJc w:val="left"/>
      <w:pPr>
        <w:tabs>
          <w:tab w:val="num" w:pos="2187"/>
        </w:tabs>
        <w:ind w:left="2187" w:hanging="567"/>
      </w:pPr>
      <w:rPr>
        <w:rFonts w:ascii="Times New Roman" w:hAnsi="Times New Roman" w:cs="Times New Roman" w:hint="default"/>
      </w:rPr>
    </w:lvl>
    <w:lvl w:ilvl="3" w:tplc="041B000F">
      <w:start w:val="1"/>
      <w:numFmt w:val="decimal"/>
      <w:lvlText w:val="%4."/>
      <w:lvlJc w:val="left"/>
      <w:pPr>
        <w:tabs>
          <w:tab w:val="num" w:pos="2520"/>
        </w:tabs>
        <w:ind w:left="2520" w:hanging="360"/>
      </w:pPr>
      <w:rPr>
        <w:rFonts w:ascii="Times New Roman" w:hAnsi="Times New Roman" w:cs="Times New Roman"/>
      </w:rPr>
    </w:lvl>
    <w:lvl w:ilvl="4" w:tplc="041B0019">
      <w:start w:val="1"/>
      <w:numFmt w:val="lowerLetter"/>
      <w:lvlText w:val="%5."/>
      <w:lvlJc w:val="left"/>
      <w:pPr>
        <w:tabs>
          <w:tab w:val="num" w:pos="3240"/>
        </w:tabs>
        <w:ind w:left="3240" w:hanging="360"/>
      </w:pPr>
      <w:rPr>
        <w:rFonts w:ascii="Times New Roman" w:hAnsi="Times New Roman" w:cs="Times New Roman"/>
      </w:rPr>
    </w:lvl>
    <w:lvl w:ilvl="5" w:tplc="041B001B">
      <w:start w:val="1"/>
      <w:numFmt w:val="lowerRoman"/>
      <w:lvlText w:val="%6."/>
      <w:lvlJc w:val="right"/>
      <w:pPr>
        <w:tabs>
          <w:tab w:val="num" w:pos="3960"/>
        </w:tabs>
        <w:ind w:left="3960" w:hanging="180"/>
      </w:pPr>
      <w:rPr>
        <w:rFonts w:ascii="Times New Roman" w:hAnsi="Times New Roman" w:cs="Times New Roman"/>
      </w:rPr>
    </w:lvl>
    <w:lvl w:ilvl="6" w:tplc="041B000F">
      <w:start w:val="1"/>
      <w:numFmt w:val="decimal"/>
      <w:lvlText w:val="%7."/>
      <w:lvlJc w:val="left"/>
      <w:pPr>
        <w:tabs>
          <w:tab w:val="num" w:pos="4680"/>
        </w:tabs>
        <w:ind w:left="4680" w:hanging="360"/>
      </w:pPr>
      <w:rPr>
        <w:rFonts w:ascii="Times New Roman" w:hAnsi="Times New Roman" w:cs="Times New Roman"/>
      </w:rPr>
    </w:lvl>
    <w:lvl w:ilvl="7" w:tplc="041B0019">
      <w:start w:val="1"/>
      <w:numFmt w:val="lowerLetter"/>
      <w:lvlText w:val="%8."/>
      <w:lvlJc w:val="left"/>
      <w:pPr>
        <w:tabs>
          <w:tab w:val="num" w:pos="5400"/>
        </w:tabs>
        <w:ind w:left="5400" w:hanging="360"/>
      </w:pPr>
      <w:rPr>
        <w:rFonts w:ascii="Times New Roman" w:hAnsi="Times New Roman" w:cs="Times New Roman"/>
      </w:rPr>
    </w:lvl>
    <w:lvl w:ilvl="8" w:tplc="041B001B">
      <w:start w:val="1"/>
      <w:numFmt w:val="lowerRoman"/>
      <w:lvlText w:val="%9."/>
      <w:lvlJc w:val="right"/>
      <w:pPr>
        <w:tabs>
          <w:tab w:val="num" w:pos="6120"/>
        </w:tabs>
        <w:ind w:left="6120" w:hanging="180"/>
      </w:pPr>
      <w:rPr>
        <w:rFonts w:ascii="Times New Roman" w:hAnsi="Times New Roman" w:cs="Times New Roman"/>
      </w:rPr>
    </w:lvl>
  </w:abstractNum>
  <w:abstractNum w:abstractNumId="8" w15:restartNumberingAfterBreak="0">
    <w:nsid w:val="31960856"/>
    <w:multiLevelType w:val="hybridMultilevel"/>
    <w:tmpl w:val="F6FEFD66"/>
    <w:lvl w:ilvl="0" w:tplc="041B0017">
      <w:start w:val="1"/>
      <w:numFmt w:val="lowerLetter"/>
      <w:lvlText w:val="%1)"/>
      <w:lvlJc w:val="left"/>
      <w:pPr>
        <w:tabs>
          <w:tab w:val="num" w:pos="720"/>
        </w:tabs>
        <w:ind w:left="720" w:hanging="360"/>
      </w:pPr>
      <w:rPr>
        <w:rFonts w:ascii="Times New Roman" w:hAnsi="Times New Roman" w:cs="Times New Roman"/>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31E717E9"/>
    <w:multiLevelType w:val="hybridMultilevel"/>
    <w:tmpl w:val="E94234CA"/>
    <w:lvl w:ilvl="0" w:tplc="041B000F">
      <w:start w:val="1"/>
      <w:numFmt w:val="decimal"/>
      <w:lvlText w:val="%1."/>
      <w:lvlJc w:val="left"/>
      <w:pPr>
        <w:tabs>
          <w:tab w:val="num" w:pos="360"/>
        </w:tabs>
        <w:ind w:left="360" w:hanging="360"/>
      </w:pPr>
      <w:rPr>
        <w:rFonts w:ascii="Times New Roman" w:hAnsi="Times New Roman" w:cs="Times New Roman"/>
      </w:rPr>
    </w:lvl>
    <w:lvl w:ilvl="1" w:tplc="6DC48DDE">
      <w:start w:val="1"/>
      <w:numFmt w:val="lowerLetter"/>
      <w:lvlText w:val="%2)"/>
      <w:lvlJc w:val="left"/>
      <w:pPr>
        <w:tabs>
          <w:tab w:val="num" w:pos="1080"/>
        </w:tabs>
        <w:ind w:left="1080" w:hanging="360"/>
      </w:pPr>
      <w:rPr>
        <w:rFonts w:ascii="Times New Roman" w:hAnsi="Times New Roman" w:cs="Times New Roman" w:hint="default"/>
      </w:rPr>
    </w:lvl>
    <w:lvl w:ilvl="2" w:tplc="98DCB2D0">
      <w:start w:val="2"/>
      <w:numFmt w:val="bullet"/>
      <w:lvlText w:val="-"/>
      <w:lvlJc w:val="left"/>
      <w:pPr>
        <w:tabs>
          <w:tab w:val="num" w:pos="1980"/>
        </w:tabs>
        <w:ind w:left="1980" w:hanging="360"/>
      </w:pPr>
      <w:rPr>
        <w:rFonts w:ascii="Times New Roman" w:eastAsia="Times New Roman" w:hAnsi="Times New Roman" w:hint="default"/>
      </w:rPr>
    </w:lvl>
    <w:lvl w:ilvl="3" w:tplc="041B000F">
      <w:start w:val="1"/>
      <w:numFmt w:val="decimal"/>
      <w:lvlText w:val="%4."/>
      <w:lvlJc w:val="left"/>
      <w:pPr>
        <w:tabs>
          <w:tab w:val="num" w:pos="2520"/>
        </w:tabs>
        <w:ind w:left="2520" w:hanging="360"/>
      </w:pPr>
      <w:rPr>
        <w:rFonts w:ascii="Times New Roman" w:hAnsi="Times New Roman" w:cs="Times New Roman"/>
      </w:rPr>
    </w:lvl>
    <w:lvl w:ilvl="4" w:tplc="041B0019">
      <w:start w:val="1"/>
      <w:numFmt w:val="lowerLetter"/>
      <w:lvlText w:val="%5."/>
      <w:lvlJc w:val="left"/>
      <w:pPr>
        <w:tabs>
          <w:tab w:val="num" w:pos="3240"/>
        </w:tabs>
        <w:ind w:left="3240" w:hanging="360"/>
      </w:pPr>
      <w:rPr>
        <w:rFonts w:ascii="Times New Roman" w:hAnsi="Times New Roman" w:cs="Times New Roman"/>
      </w:rPr>
    </w:lvl>
    <w:lvl w:ilvl="5" w:tplc="041B001B">
      <w:start w:val="1"/>
      <w:numFmt w:val="lowerRoman"/>
      <w:lvlText w:val="%6."/>
      <w:lvlJc w:val="right"/>
      <w:pPr>
        <w:tabs>
          <w:tab w:val="num" w:pos="3960"/>
        </w:tabs>
        <w:ind w:left="3960" w:hanging="180"/>
      </w:pPr>
      <w:rPr>
        <w:rFonts w:ascii="Times New Roman" w:hAnsi="Times New Roman" w:cs="Times New Roman"/>
      </w:rPr>
    </w:lvl>
    <w:lvl w:ilvl="6" w:tplc="041B000F">
      <w:start w:val="1"/>
      <w:numFmt w:val="decimal"/>
      <w:lvlText w:val="%7."/>
      <w:lvlJc w:val="left"/>
      <w:pPr>
        <w:tabs>
          <w:tab w:val="num" w:pos="4680"/>
        </w:tabs>
        <w:ind w:left="4680" w:hanging="360"/>
      </w:pPr>
      <w:rPr>
        <w:rFonts w:ascii="Times New Roman" w:hAnsi="Times New Roman" w:cs="Times New Roman"/>
      </w:rPr>
    </w:lvl>
    <w:lvl w:ilvl="7" w:tplc="041B0019">
      <w:start w:val="1"/>
      <w:numFmt w:val="lowerLetter"/>
      <w:lvlText w:val="%8."/>
      <w:lvlJc w:val="left"/>
      <w:pPr>
        <w:tabs>
          <w:tab w:val="num" w:pos="5400"/>
        </w:tabs>
        <w:ind w:left="5400" w:hanging="360"/>
      </w:pPr>
      <w:rPr>
        <w:rFonts w:ascii="Times New Roman" w:hAnsi="Times New Roman" w:cs="Times New Roman"/>
      </w:rPr>
    </w:lvl>
    <w:lvl w:ilvl="8" w:tplc="041B001B">
      <w:start w:val="1"/>
      <w:numFmt w:val="lowerRoman"/>
      <w:lvlText w:val="%9."/>
      <w:lvlJc w:val="right"/>
      <w:pPr>
        <w:tabs>
          <w:tab w:val="num" w:pos="6120"/>
        </w:tabs>
        <w:ind w:left="6120" w:hanging="180"/>
      </w:pPr>
      <w:rPr>
        <w:rFonts w:ascii="Times New Roman" w:hAnsi="Times New Roman" w:cs="Times New Roman"/>
      </w:rPr>
    </w:lvl>
  </w:abstractNum>
  <w:abstractNum w:abstractNumId="10" w15:restartNumberingAfterBreak="0">
    <w:nsid w:val="34317A27"/>
    <w:multiLevelType w:val="multilevel"/>
    <w:tmpl w:val="D792BCD6"/>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1" w15:restartNumberingAfterBreak="0">
    <w:nsid w:val="34573ADE"/>
    <w:multiLevelType w:val="hybridMultilevel"/>
    <w:tmpl w:val="A3604AC6"/>
    <w:lvl w:ilvl="0" w:tplc="041B000F">
      <w:start w:val="1"/>
      <w:numFmt w:val="decimal"/>
      <w:lvlText w:val="%1."/>
      <w:lvlJc w:val="left"/>
      <w:pPr>
        <w:tabs>
          <w:tab w:val="num" w:pos="360"/>
        </w:tabs>
        <w:ind w:left="360" w:hanging="360"/>
      </w:pPr>
      <w:rPr>
        <w:rFonts w:ascii="Times New Roman" w:hAnsi="Times New Roman" w:cs="Times New Roman"/>
      </w:rPr>
    </w:lvl>
    <w:lvl w:ilvl="1" w:tplc="F5A8EE60">
      <w:numFmt w:val="bullet"/>
      <w:lvlText w:val="-"/>
      <w:lvlJc w:val="left"/>
      <w:pPr>
        <w:tabs>
          <w:tab w:val="num" w:pos="1080"/>
        </w:tabs>
        <w:ind w:left="1080" w:hanging="360"/>
      </w:pPr>
      <w:rPr>
        <w:rFonts w:ascii="Times New Roman" w:eastAsia="Times New Roman" w:hAnsi="Times New Roman" w:hint="default"/>
      </w:rPr>
    </w:lvl>
    <w:lvl w:ilvl="2" w:tplc="041B001B">
      <w:start w:val="1"/>
      <w:numFmt w:val="lowerRoman"/>
      <w:lvlText w:val="%3."/>
      <w:lvlJc w:val="right"/>
      <w:pPr>
        <w:tabs>
          <w:tab w:val="num" w:pos="1800"/>
        </w:tabs>
        <w:ind w:left="1800" w:hanging="180"/>
      </w:pPr>
      <w:rPr>
        <w:rFonts w:ascii="Times New Roman" w:hAnsi="Times New Roman" w:cs="Times New Roman"/>
      </w:rPr>
    </w:lvl>
    <w:lvl w:ilvl="3" w:tplc="041B000F">
      <w:start w:val="1"/>
      <w:numFmt w:val="decimal"/>
      <w:lvlText w:val="%4."/>
      <w:lvlJc w:val="left"/>
      <w:pPr>
        <w:tabs>
          <w:tab w:val="num" w:pos="2520"/>
        </w:tabs>
        <w:ind w:left="2520" w:hanging="360"/>
      </w:pPr>
      <w:rPr>
        <w:rFonts w:ascii="Times New Roman" w:hAnsi="Times New Roman" w:cs="Times New Roman"/>
      </w:rPr>
    </w:lvl>
    <w:lvl w:ilvl="4" w:tplc="041B0019">
      <w:start w:val="1"/>
      <w:numFmt w:val="lowerLetter"/>
      <w:lvlText w:val="%5."/>
      <w:lvlJc w:val="left"/>
      <w:pPr>
        <w:tabs>
          <w:tab w:val="num" w:pos="3240"/>
        </w:tabs>
        <w:ind w:left="3240" w:hanging="360"/>
      </w:pPr>
      <w:rPr>
        <w:rFonts w:ascii="Times New Roman" w:hAnsi="Times New Roman" w:cs="Times New Roman"/>
      </w:rPr>
    </w:lvl>
    <w:lvl w:ilvl="5" w:tplc="041B001B">
      <w:start w:val="1"/>
      <w:numFmt w:val="lowerRoman"/>
      <w:lvlText w:val="%6."/>
      <w:lvlJc w:val="right"/>
      <w:pPr>
        <w:tabs>
          <w:tab w:val="num" w:pos="3960"/>
        </w:tabs>
        <w:ind w:left="3960" w:hanging="180"/>
      </w:pPr>
      <w:rPr>
        <w:rFonts w:ascii="Times New Roman" w:hAnsi="Times New Roman" w:cs="Times New Roman"/>
      </w:rPr>
    </w:lvl>
    <w:lvl w:ilvl="6" w:tplc="041B000F">
      <w:start w:val="1"/>
      <w:numFmt w:val="decimal"/>
      <w:lvlText w:val="%7."/>
      <w:lvlJc w:val="left"/>
      <w:pPr>
        <w:tabs>
          <w:tab w:val="num" w:pos="4680"/>
        </w:tabs>
        <w:ind w:left="4680" w:hanging="360"/>
      </w:pPr>
      <w:rPr>
        <w:rFonts w:ascii="Times New Roman" w:hAnsi="Times New Roman" w:cs="Times New Roman"/>
      </w:rPr>
    </w:lvl>
    <w:lvl w:ilvl="7" w:tplc="041B0019">
      <w:start w:val="1"/>
      <w:numFmt w:val="lowerLetter"/>
      <w:lvlText w:val="%8."/>
      <w:lvlJc w:val="left"/>
      <w:pPr>
        <w:tabs>
          <w:tab w:val="num" w:pos="5400"/>
        </w:tabs>
        <w:ind w:left="5400" w:hanging="360"/>
      </w:pPr>
      <w:rPr>
        <w:rFonts w:ascii="Times New Roman" w:hAnsi="Times New Roman" w:cs="Times New Roman"/>
      </w:rPr>
    </w:lvl>
    <w:lvl w:ilvl="8" w:tplc="041B001B">
      <w:start w:val="1"/>
      <w:numFmt w:val="lowerRoman"/>
      <w:lvlText w:val="%9."/>
      <w:lvlJc w:val="right"/>
      <w:pPr>
        <w:tabs>
          <w:tab w:val="num" w:pos="6120"/>
        </w:tabs>
        <w:ind w:left="6120" w:hanging="180"/>
      </w:pPr>
      <w:rPr>
        <w:rFonts w:ascii="Times New Roman" w:hAnsi="Times New Roman" w:cs="Times New Roman"/>
      </w:rPr>
    </w:lvl>
  </w:abstractNum>
  <w:abstractNum w:abstractNumId="12" w15:restartNumberingAfterBreak="0">
    <w:nsid w:val="45AD3922"/>
    <w:multiLevelType w:val="hybridMultilevel"/>
    <w:tmpl w:val="026665F2"/>
    <w:lvl w:ilvl="0" w:tplc="041B000F">
      <w:start w:val="1"/>
      <w:numFmt w:val="decimal"/>
      <w:lvlText w:val="%1."/>
      <w:lvlJc w:val="left"/>
      <w:pPr>
        <w:tabs>
          <w:tab w:val="num" w:pos="360"/>
        </w:tabs>
        <w:ind w:left="360" w:hanging="360"/>
      </w:pPr>
      <w:rPr>
        <w:rFonts w:ascii="Times New Roman" w:hAnsi="Times New Roman" w:cs="Times New Roman" w:hint="default"/>
      </w:rPr>
    </w:lvl>
    <w:lvl w:ilvl="1" w:tplc="041B0019">
      <w:start w:val="1"/>
      <w:numFmt w:val="lowerLetter"/>
      <w:lvlText w:val="%2."/>
      <w:lvlJc w:val="left"/>
      <w:pPr>
        <w:tabs>
          <w:tab w:val="num" w:pos="1080"/>
        </w:tabs>
        <w:ind w:left="1080" w:hanging="360"/>
      </w:pPr>
      <w:rPr>
        <w:rFonts w:ascii="Times New Roman" w:hAnsi="Times New Roman" w:cs="Times New Roman"/>
      </w:rPr>
    </w:lvl>
    <w:lvl w:ilvl="2" w:tplc="041B001B">
      <w:start w:val="1"/>
      <w:numFmt w:val="lowerRoman"/>
      <w:lvlText w:val="%3."/>
      <w:lvlJc w:val="right"/>
      <w:pPr>
        <w:tabs>
          <w:tab w:val="num" w:pos="1800"/>
        </w:tabs>
        <w:ind w:left="1800" w:hanging="180"/>
      </w:pPr>
      <w:rPr>
        <w:rFonts w:ascii="Times New Roman" w:hAnsi="Times New Roman" w:cs="Times New Roman"/>
      </w:rPr>
    </w:lvl>
    <w:lvl w:ilvl="3" w:tplc="041B000F">
      <w:start w:val="1"/>
      <w:numFmt w:val="decimal"/>
      <w:lvlText w:val="%4."/>
      <w:lvlJc w:val="left"/>
      <w:pPr>
        <w:tabs>
          <w:tab w:val="num" w:pos="2520"/>
        </w:tabs>
        <w:ind w:left="2520" w:hanging="360"/>
      </w:pPr>
      <w:rPr>
        <w:rFonts w:ascii="Times New Roman" w:hAnsi="Times New Roman" w:cs="Times New Roman"/>
      </w:rPr>
    </w:lvl>
    <w:lvl w:ilvl="4" w:tplc="041B0019">
      <w:start w:val="1"/>
      <w:numFmt w:val="lowerLetter"/>
      <w:lvlText w:val="%5."/>
      <w:lvlJc w:val="left"/>
      <w:pPr>
        <w:tabs>
          <w:tab w:val="num" w:pos="3240"/>
        </w:tabs>
        <w:ind w:left="3240" w:hanging="360"/>
      </w:pPr>
      <w:rPr>
        <w:rFonts w:ascii="Times New Roman" w:hAnsi="Times New Roman" w:cs="Times New Roman"/>
      </w:rPr>
    </w:lvl>
    <w:lvl w:ilvl="5" w:tplc="041B001B">
      <w:start w:val="1"/>
      <w:numFmt w:val="lowerRoman"/>
      <w:lvlText w:val="%6."/>
      <w:lvlJc w:val="right"/>
      <w:pPr>
        <w:tabs>
          <w:tab w:val="num" w:pos="3960"/>
        </w:tabs>
        <w:ind w:left="3960" w:hanging="180"/>
      </w:pPr>
      <w:rPr>
        <w:rFonts w:ascii="Times New Roman" w:hAnsi="Times New Roman" w:cs="Times New Roman"/>
      </w:rPr>
    </w:lvl>
    <w:lvl w:ilvl="6" w:tplc="041B000F">
      <w:start w:val="1"/>
      <w:numFmt w:val="decimal"/>
      <w:lvlText w:val="%7."/>
      <w:lvlJc w:val="left"/>
      <w:pPr>
        <w:tabs>
          <w:tab w:val="num" w:pos="4680"/>
        </w:tabs>
        <w:ind w:left="4680" w:hanging="360"/>
      </w:pPr>
      <w:rPr>
        <w:rFonts w:ascii="Times New Roman" w:hAnsi="Times New Roman" w:cs="Times New Roman"/>
      </w:rPr>
    </w:lvl>
    <w:lvl w:ilvl="7" w:tplc="041B0019">
      <w:start w:val="1"/>
      <w:numFmt w:val="lowerLetter"/>
      <w:lvlText w:val="%8."/>
      <w:lvlJc w:val="left"/>
      <w:pPr>
        <w:tabs>
          <w:tab w:val="num" w:pos="5400"/>
        </w:tabs>
        <w:ind w:left="5400" w:hanging="360"/>
      </w:pPr>
      <w:rPr>
        <w:rFonts w:ascii="Times New Roman" w:hAnsi="Times New Roman" w:cs="Times New Roman"/>
      </w:rPr>
    </w:lvl>
    <w:lvl w:ilvl="8" w:tplc="041B001B">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4B05538D"/>
    <w:multiLevelType w:val="hybridMultilevel"/>
    <w:tmpl w:val="38740F22"/>
    <w:lvl w:ilvl="0" w:tplc="1D06BA84">
      <w:start w:val="1"/>
      <w:numFmt w:val="lowerLetter"/>
      <w:lvlText w:val="%1)"/>
      <w:lvlJc w:val="left"/>
      <w:pPr>
        <w:tabs>
          <w:tab w:val="num" w:pos="927"/>
        </w:tabs>
        <w:ind w:left="927" w:hanging="567"/>
      </w:pPr>
      <w:rPr>
        <w:rFonts w:ascii="Times New Roman" w:hAnsi="Times New Roman" w:cs="Times New Roman" w:hint="default"/>
      </w:rPr>
    </w:lvl>
    <w:lvl w:ilvl="1" w:tplc="041B0019">
      <w:start w:val="1"/>
      <w:numFmt w:val="lowerLetter"/>
      <w:lvlText w:val="%2."/>
      <w:lvlJc w:val="left"/>
      <w:pPr>
        <w:tabs>
          <w:tab w:val="num" w:pos="-324"/>
        </w:tabs>
        <w:ind w:left="-324" w:hanging="360"/>
      </w:pPr>
      <w:rPr>
        <w:rFonts w:ascii="Times New Roman" w:hAnsi="Times New Roman" w:cs="Times New Roman"/>
      </w:rPr>
    </w:lvl>
    <w:lvl w:ilvl="2" w:tplc="041B001B">
      <w:start w:val="1"/>
      <w:numFmt w:val="lowerRoman"/>
      <w:lvlText w:val="%3."/>
      <w:lvlJc w:val="right"/>
      <w:pPr>
        <w:tabs>
          <w:tab w:val="num" w:pos="396"/>
        </w:tabs>
        <w:ind w:left="396" w:hanging="180"/>
      </w:pPr>
      <w:rPr>
        <w:rFonts w:ascii="Times New Roman" w:hAnsi="Times New Roman" w:cs="Times New Roman"/>
      </w:rPr>
    </w:lvl>
    <w:lvl w:ilvl="3" w:tplc="041B000F">
      <w:start w:val="1"/>
      <w:numFmt w:val="decimal"/>
      <w:lvlText w:val="%4."/>
      <w:lvlJc w:val="left"/>
      <w:pPr>
        <w:tabs>
          <w:tab w:val="num" w:pos="1116"/>
        </w:tabs>
        <w:ind w:left="1116" w:hanging="360"/>
      </w:pPr>
      <w:rPr>
        <w:rFonts w:ascii="Times New Roman" w:hAnsi="Times New Roman" w:cs="Times New Roman"/>
      </w:rPr>
    </w:lvl>
    <w:lvl w:ilvl="4" w:tplc="041B0019">
      <w:start w:val="1"/>
      <w:numFmt w:val="lowerLetter"/>
      <w:lvlText w:val="%5."/>
      <w:lvlJc w:val="left"/>
      <w:pPr>
        <w:tabs>
          <w:tab w:val="num" w:pos="1836"/>
        </w:tabs>
        <w:ind w:left="1836" w:hanging="360"/>
      </w:pPr>
      <w:rPr>
        <w:rFonts w:ascii="Times New Roman" w:hAnsi="Times New Roman" w:cs="Times New Roman"/>
      </w:rPr>
    </w:lvl>
    <w:lvl w:ilvl="5" w:tplc="041B001B">
      <w:start w:val="1"/>
      <w:numFmt w:val="lowerRoman"/>
      <w:lvlText w:val="%6."/>
      <w:lvlJc w:val="right"/>
      <w:pPr>
        <w:tabs>
          <w:tab w:val="num" w:pos="2556"/>
        </w:tabs>
        <w:ind w:left="2556" w:hanging="180"/>
      </w:pPr>
      <w:rPr>
        <w:rFonts w:ascii="Times New Roman" w:hAnsi="Times New Roman" w:cs="Times New Roman"/>
      </w:rPr>
    </w:lvl>
    <w:lvl w:ilvl="6" w:tplc="041B000F">
      <w:start w:val="1"/>
      <w:numFmt w:val="decimal"/>
      <w:lvlText w:val="%7."/>
      <w:lvlJc w:val="left"/>
      <w:pPr>
        <w:tabs>
          <w:tab w:val="num" w:pos="3276"/>
        </w:tabs>
        <w:ind w:left="3276" w:hanging="360"/>
      </w:pPr>
      <w:rPr>
        <w:rFonts w:ascii="Times New Roman" w:hAnsi="Times New Roman" w:cs="Times New Roman"/>
      </w:rPr>
    </w:lvl>
    <w:lvl w:ilvl="7" w:tplc="041B0019">
      <w:start w:val="1"/>
      <w:numFmt w:val="lowerLetter"/>
      <w:lvlText w:val="%8."/>
      <w:lvlJc w:val="left"/>
      <w:pPr>
        <w:tabs>
          <w:tab w:val="num" w:pos="3996"/>
        </w:tabs>
        <w:ind w:left="3996" w:hanging="360"/>
      </w:pPr>
      <w:rPr>
        <w:rFonts w:ascii="Times New Roman" w:hAnsi="Times New Roman" w:cs="Times New Roman"/>
      </w:rPr>
    </w:lvl>
    <w:lvl w:ilvl="8" w:tplc="041B001B">
      <w:start w:val="1"/>
      <w:numFmt w:val="lowerRoman"/>
      <w:lvlText w:val="%9."/>
      <w:lvlJc w:val="right"/>
      <w:pPr>
        <w:tabs>
          <w:tab w:val="num" w:pos="4716"/>
        </w:tabs>
        <w:ind w:left="4716" w:hanging="180"/>
      </w:pPr>
      <w:rPr>
        <w:rFonts w:ascii="Times New Roman" w:hAnsi="Times New Roman" w:cs="Times New Roman"/>
      </w:rPr>
    </w:lvl>
  </w:abstractNum>
  <w:abstractNum w:abstractNumId="14" w15:restartNumberingAfterBreak="0">
    <w:nsid w:val="4D824C99"/>
    <w:multiLevelType w:val="hybridMultilevel"/>
    <w:tmpl w:val="08F043B0"/>
    <w:lvl w:ilvl="0" w:tplc="CD780764">
      <w:start w:val="1"/>
      <w:numFmt w:val="upperLetter"/>
      <w:lvlText w:val="%1)"/>
      <w:lvlJc w:val="left"/>
      <w:pPr>
        <w:tabs>
          <w:tab w:val="num" w:pos="1200"/>
        </w:tabs>
        <w:ind w:left="1200" w:hanging="840"/>
      </w:pPr>
      <w:rPr>
        <w:rFonts w:ascii="Times New Roman" w:hAnsi="Times New Roman" w:cs="Times New Roman"/>
      </w:rPr>
    </w:lvl>
    <w:lvl w:ilvl="1" w:tplc="041B0019">
      <w:start w:val="1"/>
      <w:numFmt w:val="decimal"/>
      <w:lvlText w:val="%2."/>
      <w:lvlJc w:val="left"/>
      <w:pPr>
        <w:tabs>
          <w:tab w:val="num" w:pos="1440"/>
        </w:tabs>
        <w:ind w:left="1440" w:hanging="360"/>
      </w:pPr>
      <w:rPr>
        <w:rFonts w:ascii="Times New Roman" w:hAnsi="Times New Roman" w:cs="Times New Roman"/>
      </w:rPr>
    </w:lvl>
    <w:lvl w:ilvl="2" w:tplc="041B001B">
      <w:start w:val="1"/>
      <w:numFmt w:val="decimal"/>
      <w:lvlText w:val="%3."/>
      <w:lvlJc w:val="left"/>
      <w:pPr>
        <w:tabs>
          <w:tab w:val="num" w:pos="2160"/>
        </w:tabs>
        <w:ind w:left="2160" w:hanging="36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decimal"/>
      <w:lvlText w:val="%5."/>
      <w:lvlJc w:val="left"/>
      <w:pPr>
        <w:tabs>
          <w:tab w:val="num" w:pos="3600"/>
        </w:tabs>
        <w:ind w:left="3600" w:hanging="360"/>
      </w:pPr>
      <w:rPr>
        <w:rFonts w:ascii="Times New Roman" w:hAnsi="Times New Roman" w:cs="Times New Roman"/>
      </w:rPr>
    </w:lvl>
    <w:lvl w:ilvl="5" w:tplc="041B001B">
      <w:start w:val="1"/>
      <w:numFmt w:val="decimal"/>
      <w:lvlText w:val="%6."/>
      <w:lvlJc w:val="left"/>
      <w:pPr>
        <w:tabs>
          <w:tab w:val="num" w:pos="4320"/>
        </w:tabs>
        <w:ind w:left="4320" w:hanging="36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decimal"/>
      <w:lvlText w:val="%8."/>
      <w:lvlJc w:val="left"/>
      <w:pPr>
        <w:tabs>
          <w:tab w:val="num" w:pos="5760"/>
        </w:tabs>
        <w:ind w:left="5760" w:hanging="360"/>
      </w:pPr>
      <w:rPr>
        <w:rFonts w:ascii="Times New Roman" w:hAnsi="Times New Roman" w:cs="Times New Roman"/>
      </w:rPr>
    </w:lvl>
    <w:lvl w:ilvl="8" w:tplc="041B001B">
      <w:start w:val="1"/>
      <w:numFmt w:val="decimal"/>
      <w:lvlText w:val="%9."/>
      <w:lvlJc w:val="left"/>
      <w:pPr>
        <w:tabs>
          <w:tab w:val="num" w:pos="6480"/>
        </w:tabs>
        <w:ind w:left="6480" w:hanging="360"/>
      </w:pPr>
      <w:rPr>
        <w:rFonts w:ascii="Times New Roman" w:hAnsi="Times New Roman" w:cs="Times New Roman"/>
      </w:rPr>
    </w:lvl>
  </w:abstractNum>
  <w:abstractNum w:abstractNumId="15" w15:restartNumberingAfterBreak="0">
    <w:nsid w:val="4E5C665C"/>
    <w:multiLevelType w:val="multilevel"/>
    <w:tmpl w:val="5C463C00"/>
    <w:lvl w:ilvl="0">
      <w:start w:val="2"/>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66AD35AC"/>
    <w:multiLevelType w:val="hybridMultilevel"/>
    <w:tmpl w:val="7B76F544"/>
    <w:lvl w:ilvl="0" w:tplc="ABC060FC">
      <w:start w:val="1"/>
      <w:numFmt w:val="lowerLetter"/>
      <w:lvlText w:val="%1)"/>
      <w:lvlJc w:val="left"/>
      <w:pPr>
        <w:tabs>
          <w:tab w:val="num" w:pos="1275"/>
        </w:tabs>
        <w:ind w:left="1275" w:hanging="567"/>
      </w:pPr>
      <w:rPr>
        <w:rFonts w:ascii="Times New Roman" w:hAnsi="Times New Roman" w:cs="Times New Roman" w:hint="default"/>
      </w:rPr>
    </w:lvl>
    <w:lvl w:ilvl="1" w:tplc="041B0019">
      <w:start w:val="1"/>
      <w:numFmt w:val="lowerLetter"/>
      <w:lvlText w:val="%2."/>
      <w:lvlJc w:val="left"/>
      <w:pPr>
        <w:tabs>
          <w:tab w:val="num" w:pos="1068"/>
        </w:tabs>
        <w:ind w:left="1068" w:hanging="360"/>
      </w:pPr>
      <w:rPr>
        <w:rFonts w:ascii="Times New Roman" w:hAnsi="Times New Roman" w:cs="Times New Roman"/>
      </w:rPr>
    </w:lvl>
    <w:lvl w:ilvl="2" w:tplc="041B001B">
      <w:start w:val="1"/>
      <w:numFmt w:val="lowerRoman"/>
      <w:lvlText w:val="%3."/>
      <w:lvlJc w:val="right"/>
      <w:pPr>
        <w:tabs>
          <w:tab w:val="num" w:pos="1788"/>
        </w:tabs>
        <w:ind w:left="1788" w:hanging="180"/>
      </w:pPr>
      <w:rPr>
        <w:rFonts w:ascii="Times New Roman" w:hAnsi="Times New Roman" w:cs="Times New Roman"/>
      </w:rPr>
    </w:lvl>
    <w:lvl w:ilvl="3" w:tplc="041B000F">
      <w:start w:val="1"/>
      <w:numFmt w:val="decimal"/>
      <w:lvlText w:val="%4."/>
      <w:lvlJc w:val="left"/>
      <w:pPr>
        <w:tabs>
          <w:tab w:val="num" w:pos="2508"/>
        </w:tabs>
        <w:ind w:left="2508" w:hanging="360"/>
      </w:pPr>
      <w:rPr>
        <w:rFonts w:ascii="Times New Roman" w:hAnsi="Times New Roman" w:cs="Times New Roman"/>
      </w:rPr>
    </w:lvl>
    <w:lvl w:ilvl="4" w:tplc="041B0019">
      <w:start w:val="1"/>
      <w:numFmt w:val="lowerLetter"/>
      <w:lvlText w:val="%5."/>
      <w:lvlJc w:val="left"/>
      <w:pPr>
        <w:tabs>
          <w:tab w:val="num" w:pos="3228"/>
        </w:tabs>
        <w:ind w:left="3228" w:hanging="360"/>
      </w:pPr>
      <w:rPr>
        <w:rFonts w:ascii="Times New Roman" w:hAnsi="Times New Roman" w:cs="Times New Roman"/>
      </w:rPr>
    </w:lvl>
    <w:lvl w:ilvl="5" w:tplc="041B001B">
      <w:start w:val="1"/>
      <w:numFmt w:val="lowerRoman"/>
      <w:lvlText w:val="%6."/>
      <w:lvlJc w:val="right"/>
      <w:pPr>
        <w:tabs>
          <w:tab w:val="num" w:pos="3948"/>
        </w:tabs>
        <w:ind w:left="3948" w:hanging="180"/>
      </w:pPr>
      <w:rPr>
        <w:rFonts w:ascii="Times New Roman" w:hAnsi="Times New Roman" w:cs="Times New Roman"/>
      </w:rPr>
    </w:lvl>
    <w:lvl w:ilvl="6" w:tplc="041B000F">
      <w:start w:val="1"/>
      <w:numFmt w:val="decimal"/>
      <w:lvlText w:val="%7."/>
      <w:lvlJc w:val="left"/>
      <w:pPr>
        <w:tabs>
          <w:tab w:val="num" w:pos="4668"/>
        </w:tabs>
        <w:ind w:left="4668" w:hanging="360"/>
      </w:pPr>
      <w:rPr>
        <w:rFonts w:ascii="Times New Roman" w:hAnsi="Times New Roman" w:cs="Times New Roman"/>
      </w:rPr>
    </w:lvl>
    <w:lvl w:ilvl="7" w:tplc="041B0019">
      <w:start w:val="1"/>
      <w:numFmt w:val="lowerLetter"/>
      <w:lvlText w:val="%8."/>
      <w:lvlJc w:val="left"/>
      <w:pPr>
        <w:tabs>
          <w:tab w:val="num" w:pos="5388"/>
        </w:tabs>
        <w:ind w:left="5388" w:hanging="360"/>
      </w:pPr>
      <w:rPr>
        <w:rFonts w:ascii="Times New Roman" w:hAnsi="Times New Roman" w:cs="Times New Roman"/>
      </w:rPr>
    </w:lvl>
    <w:lvl w:ilvl="8" w:tplc="041B001B">
      <w:start w:val="1"/>
      <w:numFmt w:val="lowerRoman"/>
      <w:lvlText w:val="%9."/>
      <w:lvlJc w:val="right"/>
      <w:pPr>
        <w:tabs>
          <w:tab w:val="num" w:pos="6108"/>
        </w:tabs>
        <w:ind w:left="6108" w:hanging="180"/>
      </w:pPr>
      <w:rPr>
        <w:rFonts w:ascii="Times New Roman" w:hAnsi="Times New Roman" w:cs="Times New Roman"/>
      </w:rPr>
    </w:lvl>
  </w:abstractNum>
  <w:abstractNum w:abstractNumId="17" w15:restartNumberingAfterBreak="0">
    <w:nsid w:val="6A2B4A57"/>
    <w:multiLevelType w:val="hybridMultilevel"/>
    <w:tmpl w:val="66A65FD6"/>
    <w:lvl w:ilvl="0" w:tplc="041B000F">
      <w:start w:val="1"/>
      <w:numFmt w:val="decimal"/>
      <w:lvlText w:val="%1."/>
      <w:lvlJc w:val="left"/>
      <w:pPr>
        <w:tabs>
          <w:tab w:val="num" w:pos="360"/>
        </w:tabs>
        <w:ind w:left="360" w:hanging="360"/>
      </w:pPr>
      <w:rPr>
        <w:rFonts w:ascii="Times New Roman" w:hAnsi="Times New Roman" w:cs="Times New Roman"/>
      </w:rPr>
    </w:lvl>
    <w:lvl w:ilvl="1" w:tplc="041B0019">
      <w:start w:val="1"/>
      <w:numFmt w:val="lowerLetter"/>
      <w:lvlText w:val="%2."/>
      <w:lvlJc w:val="left"/>
      <w:pPr>
        <w:tabs>
          <w:tab w:val="num" w:pos="1080"/>
        </w:tabs>
        <w:ind w:left="1080" w:hanging="360"/>
      </w:pPr>
      <w:rPr>
        <w:rFonts w:ascii="Times New Roman" w:hAnsi="Times New Roman" w:cs="Times New Roman"/>
      </w:rPr>
    </w:lvl>
    <w:lvl w:ilvl="2" w:tplc="041B001B">
      <w:start w:val="1"/>
      <w:numFmt w:val="lowerRoman"/>
      <w:lvlText w:val="%3."/>
      <w:lvlJc w:val="right"/>
      <w:pPr>
        <w:tabs>
          <w:tab w:val="num" w:pos="1800"/>
        </w:tabs>
        <w:ind w:left="1800" w:hanging="180"/>
      </w:pPr>
      <w:rPr>
        <w:rFonts w:ascii="Times New Roman" w:hAnsi="Times New Roman" w:cs="Times New Roman"/>
      </w:rPr>
    </w:lvl>
    <w:lvl w:ilvl="3" w:tplc="041B000F">
      <w:start w:val="1"/>
      <w:numFmt w:val="decimal"/>
      <w:lvlText w:val="%4."/>
      <w:lvlJc w:val="left"/>
      <w:pPr>
        <w:tabs>
          <w:tab w:val="num" w:pos="2520"/>
        </w:tabs>
        <w:ind w:left="2520" w:hanging="360"/>
      </w:pPr>
      <w:rPr>
        <w:rFonts w:ascii="Times New Roman" w:hAnsi="Times New Roman" w:cs="Times New Roman"/>
      </w:rPr>
    </w:lvl>
    <w:lvl w:ilvl="4" w:tplc="041B0019">
      <w:start w:val="1"/>
      <w:numFmt w:val="lowerLetter"/>
      <w:lvlText w:val="%5."/>
      <w:lvlJc w:val="left"/>
      <w:pPr>
        <w:tabs>
          <w:tab w:val="num" w:pos="3240"/>
        </w:tabs>
        <w:ind w:left="3240" w:hanging="360"/>
      </w:pPr>
      <w:rPr>
        <w:rFonts w:ascii="Times New Roman" w:hAnsi="Times New Roman" w:cs="Times New Roman"/>
      </w:rPr>
    </w:lvl>
    <w:lvl w:ilvl="5" w:tplc="041B001B">
      <w:start w:val="1"/>
      <w:numFmt w:val="lowerRoman"/>
      <w:lvlText w:val="%6."/>
      <w:lvlJc w:val="right"/>
      <w:pPr>
        <w:tabs>
          <w:tab w:val="num" w:pos="3960"/>
        </w:tabs>
        <w:ind w:left="3960" w:hanging="180"/>
      </w:pPr>
      <w:rPr>
        <w:rFonts w:ascii="Times New Roman" w:hAnsi="Times New Roman" w:cs="Times New Roman"/>
      </w:rPr>
    </w:lvl>
    <w:lvl w:ilvl="6" w:tplc="041B000F">
      <w:start w:val="1"/>
      <w:numFmt w:val="decimal"/>
      <w:lvlText w:val="%7."/>
      <w:lvlJc w:val="left"/>
      <w:pPr>
        <w:tabs>
          <w:tab w:val="num" w:pos="4680"/>
        </w:tabs>
        <w:ind w:left="4680" w:hanging="360"/>
      </w:pPr>
      <w:rPr>
        <w:rFonts w:ascii="Times New Roman" w:hAnsi="Times New Roman" w:cs="Times New Roman"/>
      </w:rPr>
    </w:lvl>
    <w:lvl w:ilvl="7" w:tplc="041B0019">
      <w:start w:val="1"/>
      <w:numFmt w:val="lowerLetter"/>
      <w:lvlText w:val="%8."/>
      <w:lvlJc w:val="left"/>
      <w:pPr>
        <w:tabs>
          <w:tab w:val="num" w:pos="5400"/>
        </w:tabs>
        <w:ind w:left="5400" w:hanging="360"/>
      </w:pPr>
      <w:rPr>
        <w:rFonts w:ascii="Times New Roman" w:hAnsi="Times New Roman" w:cs="Times New Roman"/>
      </w:rPr>
    </w:lvl>
    <w:lvl w:ilvl="8" w:tplc="041B001B">
      <w:start w:val="1"/>
      <w:numFmt w:val="lowerRoman"/>
      <w:lvlText w:val="%9."/>
      <w:lvlJc w:val="right"/>
      <w:pPr>
        <w:tabs>
          <w:tab w:val="num" w:pos="6120"/>
        </w:tabs>
        <w:ind w:left="6120" w:hanging="180"/>
      </w:pPr>
      <w:rPr>
        <w:rFonts w:ascii="Times New Roman" w:hAnsi="Times New Roman" w:cs="Times New Roman"/>
      </w:rPr>
    </w:lvl>
  </w:abstractNum>
  <w:abstractNum w:abstractNumId="18" w15:restartNumberingAfterBreak="0">
    <w:nsid w:val="6D2C099D"/>
    <w:multiLevelType w:val="hybridMultilevel"/>
    <w:tmpl w:val="00448530"/>
    <w:lvl w:ilvl="0" w:tplc="041B000F">
      <w:start w:val="1"/>
      <w:numFmt w:val="decimal"/>
      <w:lvlText w:val="%1."/>
      <w:lvlJc w:val="left"/>
      <w:pPr>
        <w:tabs>
          <w:tab w:val="num" w:pos="360"/>
        </w:tabs>
        <w:ind w:left="360" w:hanging="360"/>
      </w:pPr>
      <w:rPr>
        <w:rFonts w:ascii="Times New Roman" w:hAnsi="Times New Roman" w:cs="Times New Roman" w:hint="default"/>
      </w:rPr>
    </w:lvl>
    <w:lvl w:ilvl="1" w:tplc="041B0019">
      <w:start w:val="1"/>
      <w:numFmt w:val="lowerLetter"/>
      <w:lvlText w:val="%2."/>
      <w:lvlJc w:val="left"/>
      <w:pPr>
        <w:tabs>
          <w:tab w:val="num" w:pos="1080"/>
        </w:tabs>
        <w:ind w:left="1080" w:hanging="360"/>
      </w:pPr>
      <w:rPr>
        <w:rFonts w:ascii="Times New Roman" w:hAnsi="Times New Roman" w:cs="Times New Roman"/>
      </w:rPr>
    </w:lvl>
    <w:lvl w:ilvl="2" w:tplc="041B001B">
      <w:start w:val="1"/>
      <w:numFmt w:val="lowerRoman"/>
      <w:lvlText w:val="%3."/>
      <w:lvlJc w:val="right"/>
      <w:pPr>
        <w:tabs>
          <w:tab w:val="num" w:pos="1800"/>
        </w:tabs>
        <w:ind w:left="1800" w:hanging="180"/>
      </w:pPr>
      <w:rPr>
        <w:rFonts w:ascii="Times New Roman" w:hAnsi="Times New Roman" w:cs="Times New Roman"/>
      </w:rPr>
    </w:lvl>
    <w:lvl w:ilvl="3" w:tplc="041B000F">
      <w:start w:val="1"/>
      <w:numFmt w:val="decimal"/>
      <w:lvlText w:val="%4."/>
      <w:lvlJc w:val="left"/>
      <w:pPr>
        <w:tabs>
          <w:tab w:val="num" w:pos="2520"/>
        </w:tabs>
        <w:ind w:left="2520" w:hanging="360"/>
      </w:pPr>
      <w:rPr>
        <w:rFonts w:ascii="Times New Roman" w:hAnsi="Times New Roman" w:cs="Times New Roman"/>
      </w:rPr>
    </w:lvl>
    <w:lvl w:ilvl="4" w:tplc="041B0019">
      <w:start w:val="1"/>
      <w:numFmt w:val="lowerLetter"/>
      <w:lvlText w:val="%5."/>
      <w:lvlJc w:val="left"/>
      <w:pPr>
        <w:tabs>
          <w:tab w:val="num" w:pos="3240"/>
        </w:tabs>
        <w:ind w:left="3240" w:hanging="360"/>
      </w:pPr>
      <w:rPr>
        <w:rFonts w:ascii="Times New Roman" w:hAnsi="Times New Roman" w:cs="Times New Roman"/>
      </w:rPr>
    </w:lvl>
    <w:lvl w:ilvl="5" w:tplc="041B001B">
      <w:start w:val="1"/>
      <w:numFmt w:val="lowerRoman"/>
      <w:lvlText w:val="%6."/>
      <w:lvlJc w:val="right"/>
      <w:pPr>
        <w:tabs>
          <w:tab w:val="num" w:pos="3960"/>
        </w:tabs>
        <w:ind w:left="3960" w:hanging="180"/>
      </w:pPr>
      <w:rPr>
        <w:rFonts w:ascii="Times New Roman" w:hAnsi="Times New Roman" w:cs="Times New Roman"/>
      </w:rPr>
    </w:lvl>
    <w:lvl w:ilvl="6" w:tplc="041B000F">
      <w:start w:val="1"/>
      <w:numFmt w:val="decimal"/>
      <w:lvlText w:val="%7."/>
      <w:lvlJc w:val="left"/>
      <w:pPr>
        <w:tabs>
          <w:tab w:val="num" w:pos="4680"/>
        </w:tabs>
        <w:ind w:left="4680" w:hanging="360"/>
      </w:pPr>
      <w:rPr>
        <w:rFonts w:ascii="Times New Roman" w:hAnsi="Times New Roman" w:cs="Times New Roman"/>
      </w:rPr>
    </w:lvl>
    <w:lvl w:ilvl="7" w:tplc="041B0019">
      <w:start w:val="1"/>
      <w:numFmt w:val="lowerLetter"/>
      <w:lvlText w:val="%8."/>
      <w:lvlJc w:val="left"/>
      <w:pPr>
        <w:tabs>
          <w:tab w:val="num" w:pos="5400"/>
        </w:tabs>
        <w:ind w:left="5400" w:hanging="360"/>
      </w:pPr>
      <w:rPr>
        <w:rFonts w:ascii="Times New Roman" w:hAnsi="Times New Roman" w:cs="Times New Roman"/>
      </w:rPr>
    </w:lvl>
    <w:lvl w:ilvl="8" w:tplc="041B001B">
      <w:start w:val="1"/>
      <w:numFmt w:val="lowerRoman"/>
      <w:lvlText w:val="%9."/>
      <w:lvlJc w:val="right"/>
      <w:pPr>
        <w:tabs>
          <w:tab w:val="num" w:pos="6120"/>
        </w:tabs>
        <w:ind w:left="6120" w:hanging="180"/>
      </w:pPr>
      <w:rPr>
        <w:rFonts w:ascii="Times New Roman" w:hAnsi="Times New Roman" w:cs="Times New Roman"/>
      </w:rPr>
    </w:lvl>
  </w:abstractNum>
  <w:num w:numId="1">
    <w:abstractNumId w:val="4"/>
  </w:num>
  <w:num w:numId="2">
    <w:abstractNumId w:val="18"/>
  </w:num>
  <w:num w:numId="3">
    <w:abstractNumId w:val="11"/>
  </w:num>
  <w:num w:numId="4">
    <w:abstractNumId w:val="9"/>
  </w:num>
  <w:num w:numId="5">
    <w:abstractNumId w:val="8"/>
  </w:num>
  <w:num w:numId="6">
    <w:abstractNumId w:val="6"/>
  </w:num>
  <w:num w:numId="7">
    <w:abstractNumId w:val="7"/>
  </w:num>
  <w:num w:numId="8">
    <w:abstractNumId w:val="17"/>
  </w:num>
  <w:num w:numId="9">
    <w:abstractNumId w:val="1"/>
  </w:num>
  <w:num w:numId="10">
    <w:abstractNumId w:val="12"/>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3"/>
  </w:num>
  <w:num w:numId="14">
    <w:abstractNumId w:val="2"/>
  </w:num>
  <w:num w:numId="15">
    <w:abstractNumId w:val="0"/>
  </w:num>
  <w:num w:numId="16">
    <w:abstractNumId w:val="15"/>
  </w:num>
  <w:num w:numId="17">
    <w:abstractNumId w:val="5"/>
  </w:num>
  <w:num w:numId="18">
    <w:abstractNumId w:val="1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1679"/>
    <w:rsid w:val="000D720C"/>
    <w:rsid w:val="002A64BD"/>
    <w:rsid w:val="002B5F07"/>
    <w:rsid w:val="003020D7"/>
    <w:rsid w:val="00341679"/>
    <w:rsid w:val="005162AC"/>
    <w:rsid w:val="00644DC7"/>
    <w:rsid w:val="00822CE7"/>
    <w:rsid w:val="00831E5E"/>
    <w:rsid w:val="00881677"/>
    <w:rsid w:val="00AF7688"/>
    <w:rsid w:val="00CC121F"/>
    <w:rsid w:val="00F451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3E53FBE-045D-486C-8D16-7D2B7CB4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ascii="Times New Roman" w:hAnsi="Times New Roman"/>
      <w:sz w:val="24"/>
      <w:szCs w:val="24"/>
    </w:rPr>
  </w:style>
  <w:style w:type="paragraph" w:styleId="Nadpis1">
    <w:name w:val="heading 1"/>
    <w:basedOn w:val="Normlny"/>
    <w:next w:val="Normlny"/>
    <w:link w:val="Nadpis1Char"/>
    <w:uiPriority w:val="99"/>
    <w:qFormat/>
    <w:pPr>
      <w:keepNext/>
      <w:jc w:val="center"/>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rPr>
      <w:rFonts w:ascii="Times New Roman" w:hAnsi="Times New Roman" w:cs="Times New Roman"/>
      <w:b/>
      <w:bCs/>
      <w:sz w:val="24"/>
      <w:szCs w:val="24"/>
      <w:lang w:eastAsia="sk-SK"/>
    </w:rPr>
  </w:style>
  <w:style w:type="paragraph" w:styleId="Nzov">
    <w:name w:val="Title"/>
    <w:basedOn w:val="Normlny"/>
    <w:link w:val="NzovChar"/>
    <w:uiPriority w:val="99"/>
    <w:qFormat/>
    <w:pPr>
      <w:jc w:val="center"/>
    </w:pPr>
    <w:rPr>
      <w:b/>
      <w:bCs/>
    </w:rPr>
  </w:style>
  <w:style w:type="character" w:customStyle="1" w:styleId="NzovChar">
    <w:name w:val="Názov Char"/>
    <w:link w:val="Nzov"/>
    <w:uiPriority w:val="99"/>
    <w:rPr>
      <w:rFonts w:ascii="Times New Roman" w:hAnsi="Times New Roman" w:cs="Times New Roman"/>
      <w:b/>
      <w:bCs/>
      <w:sz w:val="20"/>
      <w:szCs w:val="20"/>
      <w:lang w:eastAsia="sk-SK"/>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link w:val="Hlavika"/>
    <w:uiPriority w:val="99"/>
    <w:rPr>
      <w:rFonts w:ascii="Times New Roman" w:hAnsi="Times New Roman" w:cs="Times New Roman"/>
      <w:sz w:val="24"/>
      <w:szCs w:val="24"/>
      <w:lang w:eastAsia="sk-SK"/>
    </w:rPr>
  </w:style>
  <w:style w:type="paragraph" w:styleId="Pta">
    <w:name w:val="footer"/>
    <w:basedOn w:val="Normlny"/>
    <w:link w:val="PtaChar"/>
    <w:uiPriority w:val="99"/>
    <w:pPr>
      <w:tabs>
        <w:tab w:val="center" w:pos="4536"/>
        <w:tab w:val="right" w:pos="9072"/>
      </w:tabs>
    </w:pPr>
  </w:style>
  <w:style w:type="character" w:customStyle="1" w:styleId="PtaChar">
    <w:name w:val="Päta Char"/>
    <w:link w:val="Pta"/>
    <w:uiPriority w:val="99"/>
    <w:rPr>
      <w:rFonts w:ascii="Times New Roman" w:hAnsi="Times New Roman" w:cs="Times New Roman"/>
      <w:sz w:val="24"/>
      <w:szCs w:val="24"/>
      <w:lang w:eastAsia="sk-SK"/>
    </w:rPr>
  </w:style>
  <w:style w:type="character" w:styleId="slostrany">
    <w:name w:val="page number"/>
    <w:uiPriority w:val="99"/>
    <w:rPr>
      <w:rFonts w:ascii="Times New Roman" w:hAnsi="Times New Roman" w:cs="Times New Roman"/>
    </w:rPr>
  </w:style>
  <w:style w:type="paragraph" w:customStyle="1" w:styleId="Obyajntext1">
    <w:name w:val="Obyčajný text1"/>
    <w:basedOn w:val="Normlny"/>
    <w:uiPriority w:val="99"/>
    <w:pPr>
      <w:overflowPunct w:val="0"/>
      <w:autoSpaceDE w:val="0"/>
      <w:autoSpaceDN w:val="0"/>
      <w:adjustRightInd w:val="0"/>
      <w:textAlignment w:val="baseline"/>
    </w:pPr>
    <w:rPr>
      <w:rFonts w:ascii="Courier New" w:hAnsi="Courier New" w:cs="Courier New"/>
      <w:sz w:val="20"/>
      <w:szCs w:val="20"/>
    </w:rPr>
  </w:style>
  <w:style w:type="paragraph" w:styleId="Odsekzoznamu">
    <w:name w:val="List Paragraph"/>
    <w:basedOn w:val="Normlny"/>
    <w:uiPriority w:val="99"/>
    <w:qFormat/>
    <w:pPr>
      <w:spacing w:after="200" w:line="276" w:lineRule="auto"/>
      <w:ind w:left="720"/>
    </w:pPr>
    <w:rPr>
      <w:rFonts w:ascii="Calibri" w:hAnsi="Calibri" w:cs="Calibri"/>
      <w:sz w:val="22"/>
      <w:szCs w:val="22"/>
      <w:lang w:eastAsia="en-US"/>
    </w:rPr>
  </w:style>
  <w:style w:type="paragraph" w:customStyle="1" w:styleId="Default">
    <w:name w:val="Default"/>
    <w:rsid w:val="002A64BD"/>
    <w:pPr>
      <w:autoSpaceDE w:val="0"/>
      <w:autoSpaceDN w:val="0"/>
      <w:adjustRightInd w:val="0"/>
    </w:pPr>
    <w:rPr>
      <w:rFonts w:cs="Calibri"/>
      <w:color w:val="000000"/>
      <w:sz w:val="24"/>
      <w:szCs w:val="24"/>
    </w:rPr>
  </w:style>
  <w:style w:type="paragraph" w:styleId="Textbubliny">
    <w:name w:val="Balloon Text"/>
    <w:basedOn w:val="Normlny"/>
    <w:link w:val="TextbublinyChar"/>
    <w:uiPriority w:val="99"/>
    <w:semiHidden/>
    <w:unhideWhenUsed/>
    <w:rsid w:val="00881677"/>
    <w:rPr>
      <w:rFonts w:ascii="Segoe UI" w:hAnsi="Segoe UI" w:cs="Segoe UI"/>
      <w:sz w:val="18"/>
      <w:szCs w:val="18"/>
    </w:rPr>
  </w:style>
  <w:style w:type="character" w:customStyle="1" w:styleId="TextbublinyChar">
    <w:name w:val="Text bubliny Char"/>
    <w:link w:val="Textbubliny"/>
    <w:uiPriority w:val="99"/>
    <w:semiHidden/>
    <w:rsid w:val="008816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6</Pages>
  <Words>1668</Words>
  <Characters>9509</Characters>
  <Application>Microsoft Office Word</Application>
  <DocSecurity>0</DocSecurity>
  <Lines>79</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Božka</dc:creator>
  <cp:keywords/>
  <dc:description/>
  <cp:lastModifiedBy>JOKEL Milan</cp:lastModifiedBy>
  <cp:revision>17</cp:revision>
  <cp:lastPrinted>2015-12-16T09:52:00Z</cp:lastPrinted>
  <dcterms:created xsi:type="dcterms:W3CDTF">2011-11-29T19:57:00Z</dcterms:created>
  <dcterms:modified xsi:type="dcterms:W3CDTF">2015-12-16T09:52:00Z</dcterms:modified>
</cp:coreProperties>
</file>